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480D" w14:textId="77777777" w:rsidR="003D569A" w:rsidRPr="00DB4078" w:rsidRDefault="003D569A" w:rsidP="001D6520">
      <w:pPr>
        <w:pBdr>
          <w:top w:val="single" w:sz="4" w:space="1" w:color="auto"/>
          <w:left w:val="single" w:sz="4" w:space="4" w:color="auto"/>
          <w:bottom w:val="single" w:sz="4" w:space="1" w:color="auto"/>
          <w:right w:val="single" w:sz="4" w:space="3" w:color="auto"/>
        </w:pBdr>
        <w:spacing w:line="276" w:lineRule="auto"/>
        <w:ind w:right="-1"/>
        <w:jc w:val="center"/>
        <w:rPr>
          <w:rFonts w:cs="Arial"/>
          <w:b/>
          <w:sz w:val="44"/>
          <w:szCs w:val="44"/>
        </w:rPr>
      </w:pPr>
      <w:proofErr w:type="spellStart"/>
      <w:r w:rsidRPr="00DB4078">
        <w:rPr>
          <w:rFonts w:cs="Arial"/>
          <w:b/>
          <w:sz w:val="44"/>
          <w:szCs w:val="44"/>
        </w:rPr>
        <w:t>KlientenINFO</w:t>
      </w:r>
      <w:proofErr w:type="spellEnd"/>
    </w:p>
    <w:p w14:paraId="7D3DFBFA" w14:textId="07560542" w:rsidR="003D569A" w:rsidRPr="00DB4078" w:rsidRDefault="003D569A" w:rsidP="001D6520">
      <w:pPr>
        <w:pBdr>
          <w:top w:val="single" w:sz="4" w:space="1" w:color="auto"/>
          <w:left w:val="single" w:sz="4" w:space="4" w:color="auto"/>
          <w:bottom w:val="single" w:sz="4" w:space="1" w:color="auto"/>
          <w:right w:val="single" w:sz="4" w:space="3" w:color="auto"/>
        </w:pBdr>
        <w:spacing w:line="276" w:lineRule="auto"/>
        <w:ind w:right="-1"/>
        <w:jc w:val="right"/>
        <w:rPr>
          <w:rFonts w:cs="Arial"/>
          <w:b/>
          <w:sz w:val="24"/>
          <w:szCs w:val="24"/>
        </w:rPr>
      </w:pPr>
      <w:r w:rsidRPr="00DB4078">
        <w:rPr>
          <w:rFonts w:cs="Arial"/>
          <w:b/>
          <w:sz w:val="24"/>
          <w:szCs w:val="24"/>
        </w:rPr>
        <w:t>Ausgabe 1/202</w:t>
      </w:r>
      <w:r w:rsidR="000A027B">
        <w:rPr>
          <w:rFonts w:cs="Arial"/>
          <w:b/>
          <w:sz w:val="24"/>
          <w:szCs w:val="24"/>
        </w:rPr>
        <w:t>6</w:t>
      </w:r>
    </w:p>
    <w:p w14:paraId="4DF89D2E" w14:textId="77777777" w:rsidR="003D569A" w:rsidRPr="00EA359E" w:rsidRDefault="003D569A" w:rsidP="00B71DD0">
      <w:pPr>
        <w:tabs>
          <w:tab w:val="right" w:leader="dot" w:pos="9214"/>
        </w:tabs>
        <w:spacing w:line="276" w:lineRule="auto"/>
        <w:ind w:right="141"/>
        <w:jc w:val="both"/>
        <w:rPr>
          <w:rFonts w:cs="Arial"/>
          <w:lang w:val="de-DE"/>
        </w:rPr>
      </w:pPr>
    </w:p>
    <w:p w14:paraId="55B2D530" w14:textId="49CD34C6" w:rsidR="003D569A" w:rsidRPr="00CE55D5" w:rsidRDefault="003D569A" w:rsidP="00DB4078">
      <w:pPr>
        <w:spacing w:line="276" w:lineRule="auto"/>
        <w:ind w:right="141"/>
        <w:jc w:val="both"/>
        <w:rPr>
          <w:rFonts w:cs="Arial"/>
          <w:b/>
          <w:bCs/>
          <w:color w:val="004077"/>
        </w:rPr>
      </w:pPr>
      <w:bookmarkStart w:id="0" w:name="_Toc485735992"/>
      <w:r w:rsidRPr="00CE55D5">
        <w:rPr>
          <w:rFonts w:cs="Arial"/>
          <w:b/>
          <w:bCs/>
          <w:color w:val="004077"/>
        </w:rPr>
        <w:t>EDITORIAL</w:t>
      </w:r>
      <w:bookmarkEnd w:id="0"/>
      <w:r w:rsidRPr="00CE55D5">
        <w:rPr>
          <w:rFonts w:cs="Arial"/>
          <w:b/>
          <w:bCs/>
          <w:color w:val="004077"/>
        </w:rPr>
        <w:t xml:space="preserve"> 1/202</w:t>
      </w:r>
      <w:r w:rsidR="000A027B" w:rsidRPr="00CE55D5">
        <w:rPr>
          <w:rFonts w:cs="Arial"/>
          <w:b/>
          <w:bCs/>
          <w:color w:val="004077"/>
        </w:rPr>
        <w:t>6</w:t>
      </w:r>
    </w:p>
    <w:p w14:paraId="3CEBE652" w14:textId="5F4440DA" w:rsidR="00C65B9B" w:rsidRDefault="000A461F" w:rsidP="00C65B9B">
      <w:pPr>
        <w:spacing w:line="276" w:lineRule="auto"/>
        <w:ind w:right="-1"/>
        <w:jc w:val="both"/>
        <w:rPr>
          <w:rFonts w:cs="Arial"/>
        </w:rPr>
      </w:pPr>
      <w:r>
        <w:rPr>
          <w:rFonts w:cs="Arial"/>
        </w:rPr>
        <w:t>In der</w:t>
      </w:r>
      <w:r w:rsidR="00D61F73" w:rsidRPr="000A461F">
        <w:rPr>
          <w:rFonts w:cs="Arial"/>
        </w:rPr>
        <w:t xml:space="preserve"> ersten Ausgabe </w:t>
      </w:r>
      <w:r>
        <w:rPr>
          <w:rFonts w:cs="Arial"/>
        </w:rPr>
        <w:t>unserer</w:t>
      </w:r>
      <w:r w:rsidR="00D61F73" w:rsidRPr="000A461F">
        <w:rPr>
          <w:rFonts w:cs="Arial"/>
        </w:rPr>
        <w:t xml:space="preserve"> </w:t>
      </w:r>
      <w:proofErr w:type="spellStart"/>
      <w:r w:rsidR="00D61F73" w:rsidRPr="000A461F">
        <w:rPr>
          <w:rFonts w:cs="Arial"/>
        </w:rPr>
        <w:t>KlientenINFO</w:t>
      </w:r>
      <w:proofErr w:type="spellEnd"/>
      <w:r w:rsidR="00D61F73" w:rsidRPr="000A461F">
        <w:rPr>
          <w:rFonts w:cs="Arial"/>
        </w:rPr>
        <w:t xml:space="preserve"> </w:t>
      </w:r>
      <w:r w:rsidR="00C244B6" w:rsidRPr="000A461F">
        <w:rPr>
          <w:rFonts w:cs="Arial"/>
        </w:rPr>
        <w:t>des Jahres 202</w:t>
      </w:r>
      <w:r>
        <w:rPr>
          <w:rFonts w:cs="Arial"/>
        </w:rPr>
        <w:t>6</w:t>
      </w:r>
      <w:r w:rsidR="00C244B6" w:rsidRPr="000A461F">
        <w:rPr>
          <w:rFonts w:cs="Arial"/>
        </w:rPr>
        <w:t xml:space="preserve"> </w:t>
      </w:r>
      <w:r>
        <w:rPr>
          <w:rFonts w:cs="Arial"/>
        </w:rPr>
        <w:t xml:space="preserve">widmen wir uns den </w:t>
      </w:r>
      <w:r w:rsidR="007E7F23">
        <w:rPr>
          <w:rFonts w:cs="Arial"/>
        </w:rPr>
        <w:t xml:space="preserve">besonders </w:t>
      </w:r>
      <w:r>
        <w:rPr>
          <w:rFonts w:cs="Arial"/>
        </w:rPr>
        <w:t xml:space="preserve">zahlreichen Änderungen </w:t>
      </w:r>
      <w:r w:rsidR="007E7F23">
        <w:rPr>
          <w:rFonts w:cs="Arial"/>
        </w:rPr>
        <w:t>zu</w:t>
      </w:r>
      <w:r>
        <w:rPr>
          <w:rFonts w:cs="Arial"/>
        </w:rPr>
        <w:t xml:space="preserve"> Beginn des Jahres. Wir starten mit einer Übersicht der für 2026 gültigen Werte in der Einkommensteuer</w:t>
      </w:r>
      <w:r w:rsidR="007E7F23">
        <w:rPr>
          <w:rFonts w:cs="Arial"/>
        </w:rPr>
        <w:t xml:space="preserve"> und in</w:t>
      </w:r>
      <w:r>
        <w:rPr>
          <w:rFonts w:cs="Arial"/>
        </w:rPr>
        <w:t>formieren über Bildungskarenz und Trinkgeldpauschalen</w:t>
      </w:r>
      <w:r w:rsidR="00B74C4F">
        <w:rPr>
          <w:rFonts w:cs="Arial"/>
        </w:rPr>
        <w:t>.</w:t>
      </w:r>
      <w:r>
        <w:rPr>
          <w:rFonts w:cs="Arial"/>
        </w:rPr>
        <w:t xml:space="preserve"> </w:t>
      </w:r>
      <w:r w:rsidR="008E4AE2">
        <w:rPr>
          <w:rFonts w:cs="Arial"/>
        </w:rPr>
        <w:t>Zum Thema</w:t>
      </w:r>
      <w:r w:rsidR="007E7F23">
        <w:rPr>
          <w:rFonts w:cs="Arial"/>
        </w:rPr>
        <w:t xml:space="preserve"> Immobilien </w:t>
      </w:r>
      <w:r w:rsidR="008E4AE2">
        <w:rPr>
          <w:rFonts w:cs="Arial"/>
        </w:rPr>
        <w:t xml:space="preserve">informieren wir über </w:t>
      </w:r>
      <w:r w:rsidR="007E7F23">
        <w:rPr>
          <w:rFonts w:cs="Arial"/>
        </w:rPr>
        <w:t>d</w:t>
      </w:r>
      <w:r w:rsidR="008E4AE2">
        <w:rPr>
          <w:rFonts w:cs="Arial"/>
        </w:rPr>
        <w:t>i</w:t>
      </w:r>
      <w:r w:rsidR="007E7F23">
        <w:rPr>
          <w:rFonts w:cs="Arial"/>
        </w:rPr>
        <w:t>e Auswirkungen der Luxusgrenze von € 2 Mio. netto auf die Vorsteuerkorrektur bei Vermietungsimmobilien und d</w:t>
      </w:r>
      <w:r w:rsidR="008E4AE2">
        <w:rPr>
          <w:rFonts w:cs="Arial"/>
        </w:rPr>
        <w:t>i</w:t>
      </w:r>
      <w:r w:rsidR="007E7F23">
        <w:rPr>
          <w:rFonts w:cs="Arial"/>
        </w:rPr>
        <w:t xml:space="preserve">e Mietzinsanpassungen ab 1.4.2026. Ob das Homeoffice </w:t>
      </w:r>
      <w:r w:rsidR="008E4AE2">
        <w:rPr>
          <w:rFonts w:cs="Arial"/>
        </w:rPr>
        <w:t>als</w:t>
      </w:r>
      <w:r w:rsidR="007E7F23">
        <w:rPr>
          <w:rFonts w:cs="Arial"/>
        </w:rPr>
        <w:t xml:space="preserve"> Betrieb</w:t>
      </w:r>
      <w:r w:rsidR="00EF661E">
        <w:rPr>
          <w:rFonts w:cs="Arial"/>
        </w:rPr>
        <w:t>s</w:t>
      </w:r>
      <w:r w:rsidR="007E7F23">
        <w:rPr>
          <w:rFonts w:cs="Arial"/>
        </w:rPr>
        <w:t xml:space="preserve">stätte </w:t>
      </w:r>
      <w:r w:rsidR="008E4AE2">
        <w:rPr>
          <w:rFonts w:cs="Arial"/>
        </w:rPr>
        <w:t>gilt</w:t>
      </w:r>
      <w:r w:rsidR="007E7F23">
        <w:rPr>
          <w:rFonts w:cs="Arial"/>
        </w:rPr>
        <w:t xml:space="preserve">, </w:t>
      </w:r>
      <w:r w:rsidR="00B43460">
        <w:rPr>
          <w:rFonts w:cs="Arial"/>
        </w:rPr>
        <w:t>ergibt sich aus den</w:t>
      </w:r>
      <w:r w:rsidR="008E4AE2">
        <w:rPr>
          <w:rFonts w:cs="Arial"/>
        </w:rPr>
        <w:t xml:space="preserve"> </w:t>
      </w:r>
      <w:r w:rsidR="007E7F23">
        <w:rPr>
          <w:rFonts w:cs="Arial"/>
        </w:rPr>
        <w:t>neue</w:t>
      </w:r>
      <w:r w:rsidR="008E4AE2">
        <w:rPr>
          <w:rFonts w:cs="Arial"/>
        </w:rPr>
        <w:t>n</w:t>
      </w:r>
      <w:r w:rsidR="007E7F23">
        <w:rPr>
          <w:rFonts w:cs="Arial"/>
        </w:rPr>
        <w:t xml:space="preserve"> </w:t>
      </w:r>
      <w:r w:rsidR="008E4AE2">
        <w:rPr>
          <w:rFonts w:cs="Arial"/>
        </w:rPr>
        <w:t xml:space="preserve">Kriterien </w:t>
      </w:r>
      <w:r w:rsidR="00B43460">
        <w:rPr>
          <w:rFonts w:cs="Arial"/>
        </w:rPr>
        <w:t>im</w:t>
      </w:r>
      <w:r w:rsidR="008E4AE2">
        <w:rPr>
          <w:rFonts w:cs="Arial"/>
        </w:rPr>
        <w:t xml:space="preserve"> OECD-Muster</w:t>
      </w:r>
      <w:r w:rsidR="00C02585">
        <w:rPr>
          <w:rFonts w:cs="Arial"/>
        </w:rPr>
        <w:t>kommentar</w:t>
      </w:r>
      <w:r w:rsidR="008E4AE2">
        <w:rPr>
          <w:rFonts w:cs="Arial"/>
        </w:rPr>
        <w:t>. D</w:t>
      </w:r>
      <w:r w:rsidR="00B74C4F">
        <w:rPr>
          <w:rFonts w:cs="Arial"/>
        </w:rPr>
        <w:t xml:space="preserve">ie </w:t>
      </w:r>
      <w:r w:rsidR="008E4AE2">
        <w:rPr>
          <w:rFonts w:cs="Arial"/>
        </w:rPr>
        <w:t>neue</w:t>
      </w:r>
      <w:r w:rsidR="00D10B0C">
        <w:rPr>
          <w:rFonts w:cs="Arial"/>
        </w:rPr>
        <w:t xml:space="preserve"> </w:t>
      </w:r>
      <w:r w:rsidR="00B74C4F">
        <w:rPr>
          <w:rFonts w:cs="Arial"/>
        </w:rPr>
        <w:t>Geräte-Retter-Prämie</w:t>
      </w:r>
      <w:r w:rsidR="00D10B0C">
        <w:rPr>
          <w:rFonts w:cs="Arial"/>
        </w:rPr>
        <w:t xml:space="preserve"> als Nachfolgemodell für den Reparaturbonus </w:t>
      </w:r>
      <w:r w:rsidR="008E4AE2">
        <w:rPr>
          <w:rFonts w:cs="Arial"/>
        </w:rPr>
        <w:t xml:space="preserve">und ein Update zur aktuellen Judikatur </w:t>
      </w:r>
      <w:r w:rsidR="00D10B0C">
        <w:rPr>
          <w:rFonts w:cs="Arial"/>
        </w:rPr>
        <w:t xml:space="preserve">runden diese Ausgabe ab. </w:t>
      </w:r>
      <w:r w:rsidR="00506AE1">
        <w:rPr>
          <w:rFonts w:cs="Arial"/>
        </w:rPr>
        <w:t xml:space="preserve">Mit </w:t>
      </w:r>
      <w:r w:rsidR="003D569A" w:rsidRPr="000A461F">
        <w:rPr>
          <w:rFonts w:cs="Arial"/>
        </w:rPr>
        <w:t>eine</w:t>
      </w:r>
      <w:r w:rsidR="00506AE1">
        <w:rPr>
          <w:rFonts w:cs="Arial"/>
        </w:rPr>
        <w:t>r</w:t>
      </w:r>
      <w:r w:rsidR="003D569A" w:rsidRPr="000A461F">
        <w:rPr>
          <w:rFonts w:cs="Arial"/>
        </w:rPr>
        <w:t xml:space="preserve"> </w:t>
      </w:r>
      <w:r w:rsidR="006D77FF" w:rsidRPr="000A461F">
        <w:rPr>
          <w:rFonts w:cs="Arial"/>
        </w:rPr>
        <w:t>Ü</w:t>
      </w:r>
      <w:r w:rsidR="003D569A" w:rsidRPr="000A461F">
        <w:rPr>
          <w:rFonts w:cs="Arial"/>
        </w:rPr>
        <w:t xml:space="preserve">bersicht </w:t>
      </w:r>
      <w:r w:rsidR="006D77FF" w:rsidRPr="000A461F">
        <w:rPr>
          <w:rFonts w:cs="Arial"/>
        </w:rPr>
        <w:t xml:space="preserve">der wichtigsten steuerlichen Termine für </w:t>
      </w:r>
      <w:r w:rsidR="003D569A" w:rsidRPr="000A461F">
        <w:rPr>
          <w:rFonts w:cs="Arial"/>
        </w:rPr>
        <w:t>die Monate Februar und März 202</w:t>
      </w:r>
      <w:r w:rsidR="00B74C4F">
        <w:rPr>
          <w:rFonts w:cs="Arial"/>
        </w:rPr>
        <w:t>6</w:t>
      </w:r>
      <w:r w:rsidR="003D569A" w:rsidRPr="000A461F">
        <w:rPr>
          <w:rFonts w:cs="Arial"/>
        </w:rPr>
        <w:t xml:space="preserve"> </w:t>
      </w:r>
      <w:r w:rsidR="00506AE1">
        <w:rPr>
          <w:rFonts w:cs="Arial"/>
        </w:rPr>
        <w:t>werden Sie keinen Termin versäumen.</w:t>
      </w:r>
      <w:r w:rsidR="00511797">
        <w:rPr>
          <w:rFonts w:cs="Arial"/>
        </w:rPr>
        <w:t xml:space="preserve"> </w:t>
      </w:r>
      <w:r w:rsidR="00506AE1">
        <w:rPr>
          <w:rFonts w:cs="Arial"/>
        </w:rPr>
        <w:t xml:space="preserve">Im Anhang finden Sie die </w:t>
      </w:r>
      <w:r w:rsidR="00511797">
        <w:rPr>
          <w:rFonts w:cs="Arial"/>
        </w:rPr>
        <w:t xml:space="preserve">für das gesamte Jahr gültige </w:t>
      </w:r>
      <w:r w:rsidR="003C0D2F">
        <w:rPr>
          <w:rFonts w:cs="Arial"/>
        </w:rPr>
        <w:t>Übersichtst</w:t>
      </w:r>
      <w:r w:rsidR="00C0310A" w:rsidRPr="000A461F">
        <w:rPr>
          <w:rFonts w:cs="Arial"/>
        </w:rPr>
        <w:t>abelle der Sozialversicherungswerte</w:t>
      </w:r>
      <w:r w:rsidR="00B74C4F">
        <w:rPr>
          <w:rFonts w:cs="Arial"/>
        </w:rPr>
        <w:t xml:space="preserve"> 2026</w:t>
      </w:r>
      <w:r w:rsidR="00C0310A" w:rsidRPr="000A461F">
        <w:rPr>
          <w:rFonts w:cs="Arial"/>
        </w:rPr>
        <w:t>.</w:t>
      </w:r>
    </w:p>
    <w:p w14:paraId="5B29B05D" w14:textId="5F5AE40E" w:rsidR="00B43460" w:rsidRDefault="00506AE1" w:rsidP="00C65B9B">
      <w:pPr>
        <w:spacing w:line="276" w:lineRule="auto"/>
        <w:ind w:right="-1"/>
        <w:jc w:val="both"/>
      </w:pPr>
      <w:r w:rsidRPr="00F1173A">
        <w:t xml:space="preserve">Für </w:t>
      </w:r>
      <w:r w:rsidR="008E4AE2" w:rsidRPr="00F1173A">
        <w:t xml:space="preserve">detaillierte Auskünfte zu den einzelnen Punkten stehen wir Ihnen </w:t>
      </w:r>
      <w:r w:rsidRPr="00F1173A">
        <w:t>jederzeit zu</w:t>
      </w:r>
      <w:r w:rsidR="003E092A">
        <w:t>r</w:t>
      </w:r>
      <w:r w:rsidRPr="00F1173A">
        <w:t xml:space="preserve"> Verfügung.</w:t>
      </w:r>
      <w:r>
        <w:t xml:space="preserve"> </w:t>
      </w:r>
    </w:p>
    <w:p w14:paraId="556CB120" w14:textId="42A1FB12" w:rsidR="003D569A" w:rsidRDefault="003D569A" w:rsidP="00C65B9B">
      <w:r w:rsidRPr="000A461F">
        <w:t xml:space="preserve">Wir wünschen </w:t>
      </w:r>
      <w:r w:rsidR="006820F1" w:rsidRPr="000A461F">
        <w:t>einen guten Start</w:t>
      </w:r>
      <w:r w:rsidR="006D7683" w:rsidRPr="000A461F">
        <w:t xml:space="preserve"> </w:t>
      </w:r>
      <w:r w:rsidR="006820F1" w:rsidRPr="000A461F">
        <w:t xml:space="preserve">und </w:t>
      </w:r>
      <w:r w:rsidR="00457EFA" w:rsidRPr="000A461F">
        <w:t xml:space="preserve">viel Erfolg im </w:t>
      </w:r>
      <w:r w:rsidRPr="000A461F">
        <w:t>Jahr 202</w:t>
      </w:r>
      <w:r w:rsidR="008E4AE2">
        <w:t>6</w:t>
      </w:r>
      <w:r w:rsidR="006F5963" w:rsidRPr="000A461F">
        <w:t>!</w:t>
      </w:r>
    </w:p>
    <w:p w14:paraId="7D9F32FC" w14:textId="77777777" w:rsidR="00C65B9B" w:rsidRDefault="00C65B9B" w:rsidP="00C65B9B">
      <w:pPr>
        <w:pStyle w:val="Verzeichnis1"/>
        <w:tabs>
          <w:tab w:val="left" w:pos="480"/>
        </w:tabs>
        <w:spacing w:before="0" w:after="0" w:line="276" w:lineRule="auto"/>
        <w:ind w:right="141"/>
        <w:jc w:val="both"/>
        <w:rPr>
          <w:rFonts w:ascii="Arial" w:hAnsi="Arial" w:cs="Arial"/>
          <w:bCs/>
          <w:caps w:val="0"/>
        </w:rPr>
      </w:pPr>
    </w:p>
    <w:p w14:paraId="4386ED46" w14:textId="5999D578" w:rsidR="00A375A3" w:rsidRPr="00B326D6" w:rsidRDefault="00A375A3" w:rsidP="00B71DD0">
      <w:pPr>
        <w:pStyle w:val="Verzeichnis1"/>
        <w:tabs>
          <w:tab w:val="left" w:pos="480"/>
        </w:tabs>
        <w:spacing w:line="276" w:lineRule="auto"/>
        <w:ind w:right="141"/>
        <w:jc w:val="both"/>
        <w:rPr>
          <w:rFonts w:ascii="Arial" w:hAnsi="Arial" w:cs="Arial"/>
          <w:bCs/>
          <w:caps w:val="0"/>
        </w:rPr>
      </w:pPr>
      <w:r w:rsidRPr="00B326D6">
        <w:rPr>
          <w:rFonts w:ascii="Arial" w:hAnsi="Arial" w:cs="Arial"/>
          <w:bCs/>
          <w:caps w:val="0"/>
        </w:rPr>
        <w:t>Inhalt:</w:t>
      </w:r>
    </w:p>
    <w:p w14:paraId="27D257AA" w14:textId="591920C5" w:rsidR="00D04B48" w:rsidRPr="00D04B48" w:rsidRDefault="002A0339">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r w:rsidRPr="00D04B48">
        <w:rPr>
          <w:rFonts w:ascii="Arial" w:hAnsi="Arial" w:cs="Arial"/>
          <w:b w:val="0"/>
        </w:rPr>
        <w:fldChar w:fldCharType="begin"/>
      </w:r>
      <w:r w:rsidRPr="00D04B48">
        <w:rPr>
          <w:rFonts w:ascii="Arial" w:hAnsi="Arial" w:cs="Arial"/>
          <w:b w:val="0"/>
        </w:rPr>
        <w:instrText xml:space="preserve"> TOC \o "1-1" \h \z \u </w:instrText>
      </w:r>
      <w:r w:rsidRPr="00D04B48">
        <w:rPr>
          <w:rFonts w:ascii="Arial" w:hAnsi="Arial" w:cs="Arial"/>
          <w:b w:val="0"/>
        </w:rPr>
        <w:fldChar w:fldCharType="separate"/>
      </w:r>
      <w:hyperlink w:anchor="_Toc220955342" w:history="1">
        <w:r w:rsidR="00D04B48" w:rsidRPr="00D04B48">
          <w:rPr>
            <w:rStyle w:val="Hyperlink"/>
            <w:rFonts w:ascii="Arial" w:hAnsi="Arial" w:cs="Arial"/>
            <w:b w:val="0"/>
            <w:noProof/>
          </w:rPr>
          <w:t>1.</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NEUERUNGEN 2026 FÜR DIE PERSONALVERRECHNUNG</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_Toc220955342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sidR="007D1F9D">
          <w:rPr>
            <w:rFonts w:ascii="Arial" w:hAnsi="Arial" w:cs="Arial"/>
            <w:b w:val="0"/>
            <w:noProof/>
            <w:webHidden/>
          </w:rPr>
          <w:t>1</w:t>
        </w:r>
        <w:r w:rsidR="00D04B48" w:rsidRPr="00D04B48">
          <w:rPr>
            <w:rFonts w:ascii="Arial" w:hAnsi="Arial" w:cs="Arial"/>
            <w:b w:val="0"/>
            <w:noProof/>
            <w:webHidden/>
          </w:rPr>
          <w:fldChar w:fldCharType="end"/>
        </w:r>
      </w:hyperlink>
    </w:p>
    <w:p w14:paraId="4B79D81E" w14:textId="56082497"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3" w:history="1">
        <w:r w:rsidR="00D04B48" w:rsidRPr="00D04B48">
          <w:rPr>
            <w:rStyle w:val="Hyperlink"/>
            <w:rFonts w:ascii="Arial" w:hAnsi="Arial" w:cs="Arial"/>
            <w:b w:val="0"/>
            <w:noProof/>
          </w:rPr>
          <w:t>2.</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ÄNDERUNGEN IN DER SOZIALVERSICHERUNG 2026</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_Toc220955343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4</w:t>
        </w:r>
        <w:r w:rsidR="00D04B48" w:rsidRPr="00D04B48">
          <w:rPr>
            <w:rFonts w:ascii="Arial" w:hAnsi="Arial" w:cs="Arial"/>
            <w:b w:val="0"/>
            <w:noProof/>
            <w:webHidden/>
          </w:rPr>
          <w:fldChar w:fldCharType="end"/>
        </w:r>
      </w:hyperlink>
    </w:p>
    <w:p w14:paraId="1C64DC0E" w14:textId="29C82A2D"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4" w:history="1">
        <w:r w:rsidR="00D04B48" w:rsidRPr="00D04B48">
          <w:rPr>
            <w:rStyle w:val="Hyperlink"/>
            <w:rFonts w:ascii="Arial" w:hAnsi="Arial" w:cs="Arial"/>
            <w:b w:val="0"/>
            <w:noProof/>
          </w:rPr>
          <w:t>3.</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MIETZINSANPASSUNG – WAS IST BIS 1.4.2026 ZU BEACHTEN</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_Toc220955344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6</w:t>
        </w:r>
        <w:r w:rsidR="00D04B48" w:rsidRPr="00D04B48">
          <w:rPr>
            <w:rFonts w:ascii="Arial" w:hAnsi="Arial" w:cs="Arial"/>
            <w:b w:val="0"/>
            <w:noProof/>
            <w:webHidden/>
          </w:rPr>
          <w:fldChar w:fldCharType="end"/>
        </w:r>
      </w:hyperlink>
    </w:p>
    <w:p w14:paraId="645AC0CD" w14:textId="44BF372E"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5" w:history="1">
        <w:r w:rsidR="00D04B48" w:rsidRPr="00D04B48">
          <w:rPr>
            <w:rStyle w:val="Hyperlink"/>
            <w:rFonts w:ascii="Arial" w:hAnsi="Arial" w:cs="Arial"/>
            <w:b w:val="0"/>
            <w:noProof/>
          </w:rPr>
          <w:t>4.</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NEUES AUS DER UMSATZSTEUER</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_Toc220955345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7</w:t>
        </w:r>
        <w:r w:rsidR="00D04B48" w:rsidRPr="00D04B48">
          <w:rPr>
            <w:rFonts w:ascii="Arial" w:hAnsi="Arial" w:cs="Arial"/>
            <w:b w:val="0"/>
            <w:noProof/>
            <w:webHidden/>
          </w:rPr>
          <w:fldChar w:fldCharType="end"/>
        </w:r>
      </w:hyperlink>
    </w:p>
    <w:p w14:paraId="08A36FC3" w14:textId="0C95BB0A"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6" w:history="1">
        <w:r w:rsidR="00D04B48" w:rsidRPr="00D04B48">
          <w:rPr>
            <w:rStyle w:val="Hyperlink"/>
            <w:rFonts w:ascii="Arial" w:hAnsi="Arial" w:cs="Arial"/>
            <w:b w:val="0"/>
            <w:noProof/>
          </w:rPr>
          <w:t>5.</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NEUES ZUM HOMEOFFICE ALS BETRIEBSSTÄTTE</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_Toc220955346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10</w:t>
        </w:r>
        <w:r w:rsidR="00D04B48" w:rsidRPr="00D04B48">
          <w:rPr>
            <w:rFonts w:ascii="Arial" w:hAnsi="Arial" w:cs="Arial"/>
            <w:b w:val="0"/>
            <w:noProof/>
            <w:webHidden/>
          </w:rPr>
          <w:fldChar w:fldCharType="end"/>
        </w:r>
      </w:hyperlink>
    </w:p>
    <w:p w14:paraId="010345EA" w14:textId="7BC96515"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7" w:history="1">
        <w:r w:rsidR="00D04B48" w:rsidRPr="00D04B48">
          <w:rPr>
            <w:rStyle w:val="Hyperlink"/>
            <w:rFonts w:ascii="Arial" w:hAnsi="Arial" w:cs="Arial"/>
            <w:b w:val="0"/>
            <w:noProof/>
          </w:rPr>
          <w:t>6.</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SPLITTER 1/2026</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_Toc220955347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11</w:t>
        </w:r>
        <w:r w:rsidR="00D04B48" w:rsidRPr="00D04B48">
          <w:rPr>
            <w:rFonts w:ascii="Arial" w:hAnsi="Arial" w:cs="Arial"/>
            <w:b w:val="0"/>
            <w:noProof/>
            <w:webHidden/>
          </w:rPr>
          <w:fldChar w:fldCharType="end"/>
        </w:r>
      </w:hyperlink>
    </w:p>
    <w:p w14:paraId="759DCCB7" w14:textId="113F3ADF"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8" w:history="1">
        <w:r w:rsidR="00D04B48" w:rsidRPr="00D04B48">
          <w:rPr>
            <w:rStyle w:val="Hyperlink"/>
            <w:rFonts w:ascii="Arial" w:hAnsi="Arial" w:cs="Arial"/>
            <w:b w:val="0"/>
            <w:noProof/>
          </w:rPr>
          <w:t>7.</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AKTUELLE HÖCHSTGERICHTLICHE ENTSCHEIDUNGEN</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_Toc220955348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13</w:t>
        </w:r>
        <w:r w:rsidR="00D04B48" w:rsidRPr="00D04B48">
          <w:rPr>
            <w:rFonts w:ascii="Arial" w:hAnsi="Arial" w:cs="Arial"/>
            <w:b w:val="0"/>
            <w:noProof/>
            <w:webHidden/>
          </w:rPr>
          <w:fldChar w:fldCharType="end"/>
        </w:r>
      </w:hyperlink>
    </w:p>
    <w:p w14:paraId="41C376DA" w14:textId="518BBFED" w:rsidR="00D04B48" w:rsidRPr="00D04B48" w:rsidRDefault="007D1F9D">
      <w:pPr>
        <w:pStyle w:val="Verzeichnis1"/>
        <w:tabs>
          <w:tab w:val="left" w:pos="440"/>
          <w:tab w:val="right" w:leader="dot" w:pos="9487"/>
        </w:tabs>
        <w:rPr>
          <w:rFonts w:ascii="Arial" w:eastAsiaTheme="minorEastAsia" w:hAnsi="Arial" w:cs="Arial"/>
          <w:b w:val="0"/>
          <w:caps w:val="0"/>
          <w:noProof/>
          <w:kern w:val="2"/>
          <w:sz w:val="24"/>
          <w:szCs w:val="24"/>
          <w14:ligatures w14:val="standardContextual"/>
        </w:rPr>
      </w:pPr>
      <w:hyperlink w:anchor="_Toc220955349" w:history="1">
        <w:r w:rsidR="00D04B48" w:rsidRPr="00D04B48">
          <w:rPr>
            <w:rStyle w:val="Hyperlink"/>
            <w:rFonts w:ascii="Arial" w:hAnsi="Arial" w:cs="Arial"/>
            <w:b w:val="0"/>
            <w:noProof/>
          </w:rPr>
          <w:t>8.</w:t>
        </w:r>
        <w:r w:rsidR="00D04B48" w:rsidRPr="00D04B48">
          <w:rPr>
            <w:rFonts w:ascii="Arial" w:eastAsiaTheme="minorEastAsia" w:hAnsi="Arial" w:cs="Arial"/>
            <w:b w:val="0"/>
            <w:caps w:val="0"/>
            <w:noProof/>
            <w:kern w:val="2"/>
            <w:sz w:val="24"/>
            <w:szCs w:val="24"/>
            <w14:ligatures w14:val="standardContextual"/>
          </w:rPr>
          <w:tab/>
        </w:r>
        <w:r w:rsidR="00D04B48" w:rsidRPr="00D04B48">
          <w:rPr>
            <w:rStyle w:val="Hyperlink"/>
            <w:rFonts w:ascii="Arial" w:hAnsi="Arial" w:cs="Arial"/>
            <w:b w:val="0"/>
            <w:noProof/>
          </w:rPr>
          <w:t>TERMINE FEBRUAR UND MÄRZ 2026</w:t>
        </w:r>
        <w:r w:rsidR="00D04B48" w:rsidRPr="00D04B48">
          <w:rPr>
            <w:rFonts w:ascii="Arial" w:hAnsi="Arial" w:cs="Arial"/>
            <w:b w:val="0"/>
            <w:noProof/>
            <w:webHidden/>
          </w:rPr>
          <w:tab/>
        </w:r>
        <w:r w:rsidR="00D04B48" w:rsidRPr="00D04B48">
          <w:rPr>
            <w:rFonts w:ascii="Arial" w:hAnsi="Arial" w:cs="Arial"/>
            <w:b w:val="0"/>
            <w:noProof/>
            <w:webHidden/>
          </w:rPr>
          <w:fldChar w:fldCharType="begin"/>
        </w:r>
        <w:r w:rsidR="00D04B48" w:rsidRPr="00D04B48">
          <w:rPr>
            <w:rFonts w:ascii="Arial" w:hAnsi="Arial" w:cs="Arial"/>
            <w:b w:val="0"/>
            <w:noProof/>
            <w:webHidden/>
          </w:rPr>
          <w:instrText xml:space="preserve"> PAGEREF _Toc220955349 \h </w:instrText>
        </w:r>
        <w:r w:rsidR="00D04B48" w:rsidRPr="00D04B48">
          <w:rPr>
            <w:rFonts w:ascii="Arial" w:hAnsi="Arial" w:cs="Arial"/>
            <w:b w:val="0"/>
            <w:noProof/>
            <w:webHidden/>
          </w:rPr>
        </w:r>
        <w:r w:rsidR="00D04B48" w:rsidRPr="00D04B48">
          <w:rPr>
            <w:rFonts w:ascii="Arial" w:hAnsi="Arial" w:cs="Arial"/>
            <w:b w:val="0"/>
            <w:noProof/>
            <w:webHidden/>
          </w:rPr>
          <w:fldChar w:fldCharType="separate"/>
        </w:r>
        <w:r>
          <w:rPr>
            <w:rFonts w:ascii="Arial" w:hAnsi="Arial" w:cs="Arial"/>
            <w:b w:val="0"/>
            <w:noProof/>
            <w:webHidden/>
          </w:rPr>
          <w:t>13</w:t>
        </w:r>
        <w:r w:rsidR="00D04B48" w:rsidRPr="00D04B48">
          <w:rPr>
            <w:rFonts w:ascii="Arial" w:hAnsi="Arial" w:cs="Arial"/>
            <w:b w:val="0"/>
            <w:noProof/>
            <w:webHidden/>
          </w:rPr>
          <w:fldChar w:fldCharType="end"/>
        </w:r>
      </w:hyperlink>
    </w:p>
    <w:p w14:paraId="3429FB65" w14:textId="02B35DA5" w:rsidR="003D569A" w:rsidRPr="007074FE" w:rsidRDefault="002A0339" w:rsidP="00B71DD0">
      <w:pPr>
        <w:ind w:right="141"/>
        <w:jc w:val="both"/>
        <w:rPr>
          <w:rFonts w:cs="Arial"/>
          <w:lang w:val="de-DE"/>
        </w:rPr>
      </w:pPr>
      <w:r w:rsidRPr="00D04B48">
        <w:rPr>
          <w:rFonts w:cs="Arial"/>
          <w:lang w:val="de-DE"/>
        </w:rPr>
        <w:fldChar w:fldCharType="end"/>
      </w:r>
      <w:r w:rsidR="00437E0E" w:rsidRPr="007074FE">
        <w:rPr>
          <w:rFonts w:cs="Arial"/>
          <w:lang w:val="de-DE"/>
        </w:rPr>
        <w:t>Beilage: TABELLE DER SOZIALVERSICHERUNGSWERTE 202</w:t>
      </w:r>
      <w:r w:rsidR="00133BB5" w:rsidRPr="007074FE">
        <w:rPr>
          <w:rFonts w:cs="Arial"/>
          <w:lang w:val="de-DE"/>
        </w:rPr>
        <w:t>6</w:t>
      </w:r>
    </w:p>
    <w:p w14:paraId="499E1461" w14:textId="1F5568E3" w:rsidR="003D569A" w:rsidRDefault="003D569A" w:rsidP="00B71DD0">
      <w:pPr>
        <w:ind w:right="141"/>
        <w:jc w:val="both"/>
        <w:rPr>
          <w:rFonts w:cs="Arial"/>
          <w:lang w:val="de-DE"/>
        </w:rPr>
      </w:pPr>
    </w:p>
    <w:p w14:paraId="2B61B352" w14:textId="77777777" w:rsidR="007074FE" w:rsidRPr="00EA359E" w:rsidRDefault="007074FE" w:rsidP="00B71DD0">
      <w:pPr>
        <w:ind w:right="141"/>
        <w:jc w:val="both"/>
        <w:rPr>
          <w:rFonts w:cs="Arial"/>
          <w:lang w:val="de-DE"/>
        </w:rPr>
      </w:pPr>
    </w:p>
    <w:p w14:paraId="50809A0A" w14:textId="07C108AE" w:rsidR="003D569A" w:rsidRPr="00CE55D5" w:rsidRDefault="002461BF" w:rsidP="003B1561">
      <w:pPr>
        <w:pStyle w:val="berschrift1"/>
        <w:widowControl w:val="0"/>
        <w:rPr>
          <w:color w:val="004077"/>
          <w:sz w:val="22"/>
          <w:szCs w:val="22"/>
        </w:rPr>
      </w:pPr>
      <w:bookmarkStart w:id="1" w:name="_Toc94641751"/>
      <w:bookmarkStart w:id="2" w:name="_Toc157547933"/>
      <w:bookmarkStart w:id="3" w:name="_Toc220955342"/>
      <w:bookmarkStart w:id="4" w:name="_Toc57539059"/>
      <w:bookmarkStart w:id="5" w:name="_Toc49706704"/>
      <w:r w:rsidRPr="00CE55D5">
        <w:rPr>
          <w:color w:val="004077"/>
          <w:sz w:val="22"/>
          <w:szCs w:val="22"/>
        </w:rPr>
        <w:t>NEUERUNGEN 2026 FÜR DIE PERSONALVERRECHNUNG</w:t>
      </w:r>
      <w:bookmarkEnd w:id="1"/>
      <w:bookmarkEnd w:id="2"/>
      <w:bookmarkEnd w:id="3"/>
    </w:p>
    <w:p w14:paraId="01DA8E23" w14:textId="68D7C2F3" w:rsidR="00592640" w:rsidRPr="00F1173A" w:rsidRDefault="00B43460" w:rsidP="00F1173A">
      <w:r>
        <w:t>Für die Personalverrechnung a</w:t>
      </w:r>
      <w:r w:rsidR="002461BF">
        <w:t xml:space="preserve">b 2026 ergeben sich </w:t>
      </w:r>
      <w:r>
        <w:t>wieder</w:t>
      </w:r>
      <w:r w:rsidR="002461BF">
        <w:t xml:space="preserve"> mehrere Anpassungen</w:t>
      </w:r>
      <w:r w:rsidR="003C0D2F">
        <w:t>.</w:t>
      </w:r>
      <w:r w:rsidR="002461BF">
        <w:t xml:space="preserve"> Hier ein Überblick </w:t>
      </w:r>
      <w:r w:rsidR="002461BF" w:rsidRPr="00F1173A">
        <w:t xml:space="preserve">der wichtigsten Werte, Regelungen und Neuerungen. </w:t>
      </w:r>
    </w:p>
    <w:p w14:paraId="54DB8738" w14:textId="77777777" w:rsidR="00E13250" w:rsidRPr="00EA359E" w:rsidRDefault="00E13250" w:rsidP="00C557CF">
      <w:pPr>
        <w:spacing w:line="276" w:lineRule="auto"/>
        <w:ind w:right="-1"/>
        <w:jc w:val="both"/>
        <w:rPr>
          <w:rFonts w:cs="Arial"/>
        </w:rPr>
      </w:pPr>
    </w:p>
    <w:p w14:paraId="035E1916" w14:textId="76D83C03" w:rsidR="00953CB8" w:rsidRPr="00EA359E" w:rsidRDefault="002461BF" w:rsidP="00F1173A">
      <w:pPr>
        <w:pStyle w:val="berschrift2"/>
        <w:rPr>
          <w:lang w:val="de-DE"/>
        </w:rPr>
      </w:pPr>
      <w:r>
        <w:rPr>
          <w:lang w:val="de-DE"/>
        </w:rPr>
        <w:t>Wichtige Werte</w:t>
      </w:r>
    </w:p>
    <w:p w14:paraId="504ABB2F" w14:textId="5758DF7B" w:rsidR="00953CB8" w:rsidRDefault="007D4BBC" w:rsidP="00F1173A">
      <w:pPr>
        <w:rPr>
          <w:lang w:val="de-DE"/>
        </w:rPr>
      </w:pPr>
      <w:r w:rsidRPr="00EA359E">
        <w:rPr>
          <w:lang w:val="de-DE"/>
        </w:rPr>
        <w:t xml:space="preserve">Auf einen </w:t>
      </w:r>
      <w:r w:rsidRPr="00C926A9">
        <w:rPr>
          <w:lang w:val="de-DE"/>
        </w:rPr>
        <w:t xml:space="preserve">Blick </w:t>
      </w:r>
      <w:r w:rsidR="00436EC8" w:rsidRPr="00C926A9">
        <w:rPr>
          <w:lang w:val="de-DE"/>
        </w:rPr>
        <w:t>noch einmal</w:t>
      </w:r>
      <w:r w:rsidRPr="00C926A9">
        <w:rPr>
          <w:lang w:val="de-DE"/>
        </w:rPr>
        <w:t xml:space="preserve"> </w:t>
      </w:r>
      <w:r w:rsidRPr="00EA359E">
        <w:rPr>
          <w:lang w:val="de-DE"/>
        </w:rPr>
        <w:t xml:space="preserve">die </w:t>
      </w:r>
      <w:r w:rsidR="002461BF">
        <w:rPr>
          <w:lang w:val="de-DE"/>
        </w:rPr>
        <w:t xml:space="preserve">für das Jahr 2026 gültigen inflationsbereinigten </w:t>
      </w:r>
      <w:r w:rsidRPr="00EA359E">
        <w:rPr>
          <w:lang w:val="de-DE"/>
        </w:rPr>
        <w:t>Tarifstufen des § 33 EStG</w:t>
      </w:r>
      <w:r w:rsidR="007074FE">
        <w:rPr>
          <w:lang w:val="de-DE"/>
        </w:rPr>
        <w:t>.</w:t>
      </w:r>
      <w:r w:rsidRPr="00EA359E">
        <w:rPr>
          <w:lang w:val="de-DE"/>
        </w:rPr>
        <w:t xml:space="preserve"> </w:t>
      </w:r>
    </w:p>
    <w:tbl>
      <w:tblPr>
        <w:tblW w:w="8713" w:type="dxa"/>
        <w:tblCellMar>
          <w:left w:w="70" w:type="dxa"/>
          <w:right w:w="70" w:type="dxa"/>
        </w:tblCellMar>
        <w:tblLook w:val="04A0" w:firstRow="1" w:lastRow="0" w:firstColumn="1" w:lastColumn="0" w:noHBand="0" w:noVBand="1"/>
      </w:tblPr>
      <w:tblGrid>
        <w:gridCol w:w="3261"/>
        <w:gridCol w:w="69"/>
        <w:gridCol w:w="1028"/>
        <w:gridCol w:w="1072"/>
        <w:gridCol w:w="1200"/>
        <w:gridCol w:w="883"/>
        <w:gridCol w:w="1200"/>
      </w:tblGrid>
      <w:tr w:rsidR="002461BF" w:rsidRPr="002461BF" w14:paraId="174A0C7C" w14:textId="77777777" w:rsidTr="002461BF">
        <w:trPr>
          <w:gridAfter w:val="2"/>
          <w:wAfter w:w="2083" w:type="dxa"/>
          <w:trHeight w:val="315"/>
        </w:trPr>
        <w:tc>
          <w:tcPr>
            <w:tcW w:w="3330" w:type="dxa"/>
            <w:gridSpan w:val="2"/>
            <w:tcBorders>
              <w:top w:val="nil"/>
              <w:left w:val="nil"/>
              <w:bottom w:val="single" w:sz="8" w:space="0" w:color="auto"/>
              <w:right w:val="nil"/>
            </w:tcBorders>
            <w:shd w:val="clear" w:color="auto" w:fill="auto"/>
            <w:noWrap/>
            <w:vAlign w:val="bottom"/>
            <w:hideMark/>
          </w:tcPr>
          <w:p w14:paraId="0BD2DA15" w14:textId="77777777" w:rsidR="002461BF" w:rsidRPr="002461BF" w:rsidRDefault="002461BF" w:rsidP="002461BF">
            <w:pPr>
              <w:jc w:val="center"/>
              <w:rPr>
                <w:rFonts w:ascii="Aptos Narrow" w:hAnsi="Aptos Narrow"/>
                <w:color w:val="000000"/>
                <w:sz w:val="22"/>
                <w:szCs w:val="22"/>
                <w:lang w:val="de-DE"/>
              </w:rPr>
            </w:pPr>
            <w:r w:rsidRPr="002461BF">
              <w:rPr>
                <w:rFonts w:ascii="Aptos Narrow" w:hAnsi="Aptos Narrow"/>
                <w:color w:val="000000"/>
                <w:sz w:val="22"/>
                <w:szCs w:val="22"/>
                <w:lang w:val="de-DE"/>
              </w:rPr>
              <w:t>2025</w:t>
            </w:r>
          </w:p>
        </w:tc>
        <w:tc>
          <w:tcPr>
            <w:tcW w:w="2100" w:type="dxa"/>
            <w:gridSpan w:val="2"/>
            <w:tcBorders>
              <w:top w:val="nil"/>
              <w:left w:val="nil"/>
              <w:bottom w:val="nil"/>
              <w:right w:val="nil"/>
            </w:tcBorders>
            <w:shd w:val="clear" w:color="auto" w:fill="auto"/>
            <w:noWrap/>
            <w:vAlign w:val="bottom"/>
            <w:hideMark/>
          </w:tcPr>
          <w:p w14:paraId="3305130C" w14:textId="77777777" w:rsidR="002461BF" w:rsidRPr="002461BF" w:rsidRDefault="002461BF" w:rsidP="002461BF">
            <w:pPr>
              <w:jc w:val="right"/>
              <w:rPr>
                <w:rFonts w:ascii="Aptos Narrow" w:hAnsi="Aptos Narrow"/>
                <w:color w:val="000000"/>
                <w:sz w:val="22"/>
                <w:szCs w:val="22"/>
                <w:lang w:val="de-DE"/>
              </w:rPr>
            </w:pPr>
            <w:r w:rsidRPr="002461BF">
              <w:rPr>
                <w:rFonts w:ascii="Aptos Narrow" w:hAnsi="Aptos Narrow"/>
                <w:color w:val="000000"/>
                <w:sz w:val="22"/>
                <w:szCs w:val="22"/>
                <w:lang w:val="de-DE"/>
              </w:rPr>
              <w:t>2026</w:t>
            </w:r>
          </w:p>
        </w:tc>
        <w:tc>
          <w:tcPr>
            <w:tcW w:w="1200" w:type="dxa"/>
            <w:tcBorders>
              <w:top w:val="nil"/>
              <w:left w:val="nil"/>
              <w:bottom w:val="nil"/>
              <w:right w:val="nil"/>
            </w:tcBorders>
            <w:shd w:val="clear" w:color="auto" w:fill="auto"/>
            <w:noWrap/>
            <w:vAlign w:val="bottom"/>
            <w:hideMark/>
          </w:tcPr>
          <w:p w14:paraId="64B88EC5" w14:textId="77777777" w:rsidR="002461BF" w:rsidRPr="002461BF" w:rsidRDefault="002461BF" w:rsidP="002461BF">
            <w:pPr>
              <w:jc w:val="right"/>
              <w:rPr>
                <w:rFonts w:ascii="Aptos Narrow" w:hAnsi="Aptos Narrow"/>
                <w:color w:val="000000"/>
                <w:sz w:val="22"/>
                <w:szCs w:val="22"/>
                <w:lang w:val="de-DE"/>
              </w:rPr>
            </w:pPr>
          </w:p>
        </w:tc>
      </w:tr>
      <w:tr w:rsidR="002461BF" w:rsidRPr="002461BF" w14:paraId="0CC50579" w14:textId="77777777" w:rsidTr="002461BF">
        <w:trPr>
          <w:trHeight w:val="315"/>
        </w:trPr>
        <w:tc>
          <w:tcPr>
            <w:tcW w:w="3261" w:type="dxa"/>
            <w:tcBorders>
              <w:top w:val="single" w:sz="4" w:space="0" w:color="auto"/>
              <w:left w:val="single" w:sz="4" w:space="0" w:color="auto"/>
              <w:bottom w:val="single" w:sz="8" w:space="0" w:color="auto"/>
              <w:right w:val="single" w:sz="8" w:space="0" w:color="auto"/>
            </w:tcBorders>
            <w:shd w:val="clear" w:color="000000" w:fill="D9E1F2"/>
            <w:noWrap/>
            <w:vAlign w:val="center"/>
            <w:hideMark/>
          </w:tcPr>
          <w:p w14:paraId="0ECDC0A0" w14:textId="77777777" w:rsidR="002461BF" w:rsidRPr="002461BF" w:rsidRDefault="002461BF" w:rsidP="00F1173A">
            <w:pPr>
              <w:rPr>
                <w:lang w:val="de-DE"/>
              </w:rPr>
            </w:pPr>
            <w:r w:rsidRPr="002461BF">
              <w:rPr>
                <w:lang w:val="de-DE"/>
              </w:rPr>
              <w:t>Einkommen</w:t>
            </w:r>
          </w:p>
        </w:tc>
        <w:tc>
          <w:tcPr>
            <w:tcW w:w="1097" w:type="dxa"/>
            <w:gridSpan w:val="2"/>
            <w:tcBorders>
              <w:top w:val="single" w:sz="4" w:space="0" w:color="auto"/>
              <w:left w:val="nil"/>
              <w:bottom w:val="single" w:sz="8" w:space="0" w:color="auto"/>
              <w:right w:val="single" w:sz="8" w:space="0" w:color="auto"/>
            </w:tcBorders>
            <w:shd w:val="clear" w:color="000000" w:fill="D9E1F2"/>
            <w:noWrap/>
            <w:vAlign w:val="center"/>
            <w:hideMark/>
          </w:tcPr>
          <w:p w14:paraId="066369DC" w14:textId="77777777" w:rsidR="002461BF" w:rsidRPr="002461BF" w:rsidRDefault="002461BF" w:rsidP="00F1173A">
            <w:pPr>
              <w:rPr>
                <w:lang w:val="de-DE"/>
              </w:rPr>
            </w:pPr>
            <w:r w:rsidRPr="002461BF">
              <w:rPr>
                <w:lang w:val="de-DE"/>
              </w:rPr>
              <w:t xml:space="preserve">Steuersatz </w:t>
            </w:r>
          </w:p>
        </w:tc>
        <w:tc>
          <w:tcPr>
            <w:tcW w:w="3155" w:type="dxa"/>
            <w:gridSpan w:val="3"/>
            <w:tcBorders>
              <w:top w:val="single" w:sz="4" w:space="0" w:color="auto"/>
              <w:left w:val="nil"/>
              <w:bottom w:val="single" w:sz="8" w:space="0" w:color="auto"/>
              <w:right w:val="single" w:sz="8" w:space="0" w:color="auto"/>
            </w:tcBorders>
            <w:shd w:val="clear" w:color="000000" w:fill="B5E6A2"/>
            <w:noWrap/>
            <w:vAlign w:val="center"/>
            <w:hideMark/>
          </w:tcPr>
          <w:p w14:paraId="2EE0C516" w14:textId="77777777" w:rsidR="002461BF" w:rsidRPr="002461BF" w:rsidRDefault="002461BF" w:rsidP="00F1173A">
            <w:pPr>
              <w:rPr>
                <w:lang w:val="de-DE"/>
              </w:rPr>
            </w:pPr>
            <w:r w:rsidRPr="002461BF">
              <w:rPr>
                <w:lang w:val="de-DE"/>
              </w:rPr>
              <w:t>Einkommen</w:t>
            </w:r>
          </w:p>
        </w:tc>
        <w:tc>
          <w:tcPr>
            <w:tcW w:w="1200" w:type="dxa"/>
            <w:tcBorders>
              <w:top w:val="single" w:sz="4" w:space="0" w:color="auto"/>
              <w:left w:val="nil"/>
              <w:bottom w:val="single" w:sz="8" w:space="0" w:color="auto"/>
              <w:right w:val="single" w:sz="4" w:space="0" w:color="auto"/>
            </w:tcBorders>
            <w:shd w:val="clear" w:color="000000" w:fill="B5E6A2"/>
            <w:noWrap/>
            <w:vAlign w:val="center"/>
            <w:hideMark/>
          </w:tcPr>
          <w:p w14:paraId="7FF59E40" w14:textId="77777777" w:rsidR="002461BF" w:rsidRPr="002461BF" w:rsidRDefault="002461BF" w:rsidP="00F1173A">
            <w:pPr>
              <w:rPr>
                <w:lang w:val="de-DE"/>
              </w:rPr>
            </w:pPr>
            <w:r w:rsidRPr="002461BF">
              <w:rPr>
                <w:lang w:val="de-DE"/>
              </w:rPr>
              <w:t xml:space="preserve">Steuersatz </w:t>
            </w:r>
          </w:p>
        </w:tc>
      </w:tr>
      <w:tr w:rsidR="002461BF" w:rsidRPr="002461BF" w14:paraId="3F4042E7"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D6FAF1F" w14:textId="77777777" w:rsidR="002461BF" w:rsidRPr="002461BF" w:rsidRDefault="002461BF" w:rsidP="002461BF">
            <w:pPr>
              <w:rPr>
                <w:rFonts w:cs="Arial"/>
                <w:color w:val="000000"/>
                <w:lang w:val="de-DE"/>
              </w:rPr>
            </w:pPr>
            <w:r w:rsidRPr="002461BF">
              <w:rPr>
                <w:rFonts w:cs="Arial"/>
                <w:color w:val="000000"/>
                <w:lang w:val="de-DE"/>
              </w:rPr>
              <w:t xml:space="preserve">für die ersten </w:t>
            </w:r>
            <w:r w:rsidRPr="002461BF">
              <w:rPr>
                <w:rFonts w:cs="Arial"/>
                <w:b/>
                <w:bCs/>
                <w:color w:val="000000"/>
                <w:lang w:val="de-DE"/>
              </w:rPr>
              <w:t>€ 13.308</w:t>
            </w:r>
          </w:p>
        </w:tc>
        <w:tc>
          <w:tcPr>
            <w:tcW w:w="1097" w:type="dxa"/>
            <w:gridSpan w:val="2"/>
            <w:tcBorders>
              <w:top w:val="single" w:sz="8" w:space="0" w:color="auto"/>
              <w:left w:val="nil"/>
              <w:bottom w:val="single" w:sz="8" w:space="0" w:color="auto"/>
              <w:right w:val="single" w:sz="8" w:space="0" w:color="auto"/>
            </w:tcBorders>
            <w:shd w:val="clear" w:color="auto" w:fill="auto"/>
            <w:noWrap/>
            <w:vAlign w:val="center"/>
            <w:hideMark/>
          </w:tcPr>
          <w:p w14:paraId="409E32FF" w14:textId="77777777" w:rsidR="002461BF" w:rsidRPr="002461BF" w:rsidRDefault="002461BF" w:rsidP="002461BF">
            <w:pPr>
              <w:jc w:val="center"/>
              <w:rPr>
                <w:rFonts w:cs="Arial"/>
                <w:b/>
                <w:bCs/>
                <w:color w:val="000000"/>
                <w:lang w:val="de-DE"/>
              </w:rPr>
            </w:pPr>
            <w:r w:rsidRPr="002461BF">
              <w:rPr>
                <w:rFonts w:cs="Arial"/>
                <w:b/>
                <w:bCs/>
                <w:color w:val="000000"/>
                <w:lang w:val="de-DE"/>
              </w:rPr>
              <w:t>0%</w:t>
            </w:r>
          </w:p>
        </w:tc>
        <w:tc>
          <w:tcPr>
            <w:tcW w:w="3155" w:type="dxa"/>
            <w:gridSpan w:val="3"/>
            <w:tcBorders>
              <w:top w:val="single" w:sz="8" w:space="0" w:color="auto"/>
              <w:left w:val="nil"/>
              <w:bottom w:val="single" w:sz="8" w:space="0" w:color="auto"/>
              <w:right w:val="single" w:sz="8" w:space="0" w:color="auto"/>
            </w:tcBorders>
            <w:shd w:val="clear" w:color="auto" w:fill="auto"/>
            <w:noWrap/>
            <w:vAlign w:val="center"/>
            <w:hideMark/>
          </w:tcPr>
          <w:p w14:paraId="1017287F" w14:textId="77777777" w:rsidR="002461BF" w:rsidRPr="002461BF" w:rsidRDefault="002461BF" w:rsidP="002461BF">
            <w:pPr>
              <w:rPr>
                <w:rFonts w:cs="Arial"/>
                <w:color w:val="000000"/>
                <w:lang w:val="de-DE"/>
              </w:rPr>
            </w:pPr>
            <w:r w:rsidRPr="002461BF">
              <w:rPr>
                <w:rFonts w:cs="Arial"/>
                <w:color w:val="000000"/>
                <w:lang w:val="de-DE"/>
              </w:rPr>
              <w:t xml:space="preserve">für die ersten </w:t>
            </w:r>
            <w:r w:rsidRPr="002461BF">
              <w:rPr>
                <w:rFonts w:cs="Arial"/>
                <w:b/>
                <w:bCs/>
                <w:color w:val="000000"/>
                <w:lang w:val="de-DE"/>
              </w:rPr>
              <w:t>€ 13.539</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14:paraId="63794B07" w14:textId="77777777" w:rsidR="002461BF" w:rsidRPr="002461BF" w:rsidRDefault="002461BF" w:rsidP="002461BF">
            <w:pPr>
              <w:jc w:val="center"/>
              <w:rPr>
                <w:rFonts w:cs="Arial"/>
                <w:b/>
                <w:bCs/>
                <w:color w:val="000000"/>
                <w:lang w:val="de-DE"/>
              </w:rPr>
            </w:pPr>
            <w:r w:rsidRPr="002461BF">
              <w:rPr>
                <w:rFonts w:cs="Arial"/>
                <w:b/>
                <w:bCs/>
                <w:color w:val="000000"/>
                <w:lang w:val="de-DE"/>
              </w:rPr>
              <w:t>0%</w:t>
            </w:r>
          </w:p>
        </w:tc>
      </w:tr>
      <w:tr w:rsidR="002461BF" w:rsidRPr="002461BF" w14:paraId="3F3181DF"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000000" w:fill="D9E1F2"/>
            <w:noWrap/>
            <w:vAlign w:val="center"/>
            <w:hideMark/>
          </w:tcPr>
          <w:p w14:paraId="1F537F52" w14:textId="77777777" w:rsidR="002461BF" w:rsidRPr="002461BF" w:rsidRDefault="002461BF" w:rsidP="002461BF">
            <w:pPr>
              <w:rPr>
                <w:rFonts w:cs="Arial"/>
                <w:color w:val="000000"/>
                <w:lang w:val="de-DE"/>
              </w:rPr>
            </w:pPr>
            <w:r w:rsidRPr="002461BF">
              <w:rPr>
                <w:rFonts w:cs="Arial"/>
                <w:color w:val="000000"/>
                <w:lang w:val="de-DE"/>
              </w:rPr>
              <w:t xml:space="preserve">€ 13.308 bis </w:t>
            </w:r>
            <w:r w:rsidRPr="002461BF">
              <w:rPr>
                <w:rFonts w:cs="Arial"/>
                <w:b/>
                <w:bCs/>
                <w:color w:val="000000"/>
                <w:lang w:val="de-DE"/>
              </w:rPr>
              <w:t>€ 21.617</w:t>
            </w:r>
          </w:p>
        </w:tc>
        <w:tc>
          <w:tcPr>
            <w:tcW w:w="1097" w:type="dxa"/>
            <w:gridSpan w:val="2"/>
            <w:tcBorders>
              <w:top w:val="single" w:sz="8" w:space="0" w:color="auto"/>
              <w:left w:val="nil"/>
              <w:bottom w:val="single" w:sz="8" w:space="0" w:color="auto"/>
              <w:right w:val="single" w:sz="8" w:space="0" w:color="auto"/>
            </w:tcBorders>
            <w:shd w:val="clear" w:color="000000" w:fill="D9E1F2"/>
            <w:noWrap/>
            <w:vAlign w:val="center"/>
            <w:hideMark/>
          </w:tcPr>
          <w:p w14:paraId="614839BD" w14:textId="77777777" w:rsidR="002461BF" w:rsidRPr="002461BF" w:rsidRDefault="002461BF" w:rsidP="002461BF">
            <w:pPr>
              <w:jc w:val="center"/>
              <w:rPr>
                <w:rFonts w:cs="Arial"/>
                <w:b/>
                <w:bCs/>
                <w:color w:val="000000"/>
                <w:lang w:val="de-DE"/>
              </w:rPr>
            </w:pPr>
            <w:r w:rsidRPr="002461BF">
              <w:rPr>
                <w:rFonts w:cs="Arial"/>
                <w:b/>
                <w:bCs/>
                <w:color w:val="000000"/>
                <w:lang w:val="de-DE"/>
              </w:rPr>
              <w:t>20%</w:t>
            </w:r>
          </w:p>
        </w:tc>
        <w:tc>
          <w:tcPr>
            <w:tcW w:w="3155" w:type="dxa"/>
            <w:gridSpan w:val="3"/>
            <w:tcBorders>
              <w:top w:val="single" w:sz="8" w:space="0" w:color="auto"/>
              <w:left w:val="nil"/>
              <w:bottom w:val="single" w:sz="8" w:space="0" w:color="auto"/>
              <w:right w:val="single" w:sz="8" w:space="0" w:color="auto"/>
            </w:tcBorders>
            <w:shd w:val="clear" w:color="000000" w:fill="B5E6A2"/>
            <w:noWrap/>
            <w:vAlign w:val="center"/>
            <w:hideMark/>
          </w:tcPr>
          <w:p w14:paraId="2ADBF668" w14:textId="77777777" w:rsidR="002461BF" w:rsidRPr="002461BF" w:rsidRDefault="002461BF" w:rsidP="002461BF">
            <w:pPr>
              <w:rPr>
                <w:rFonts w:cs="Arial"/>
                <w:color w:val="000000"/>
                <w:lang w:val="de-DE"/>
              </w:rPr>
            </w:pPr>
            <w:r w:rsidRPr="002461BF">
              <w:rPr>
                <w:rFonts w:cs="Arial"/>
                <w:color w:val="000000"/>
                <w:lang w:val="de-DE"/>
              </w:rPr>
              <w:t xml:space="preserve">€ 13.539 bis </w:t>
            </w:r>
            <w:r w:rsidRPr="002461BF">
              <w:rPr>
                <w:rFonts w:cs="Arial"/>
                <w:b/>
                <w:bCs/>
                <w:color w:val="000000"/>
                <w:lang w:val="de-DE"/>
              </w:rPr>
              <w:t>€ 21.992</w:t>
            </w:r>
          </w:p>
        </w:tc>
        <w:tc>
          <w:tcPr>
            <w:tcW w:w="1200" w:type="dxa"/>
            <w:tcBorders>
              <w:top w:val="single" w:sz="8" w:space="0" w:color="auto"/>
              <w:left w:val="nil"/>
              <w:bottom w:val="single" w:sz="8" w:space="0" w:color="auto"/>
              <w:right w:val="single" w:sz="4" w:space="0" w:color="auto"/>
            </w:tcBorders>
            <w:shd w:val="clear" w:color="000000" w:fill="B5E6A2"/>
            <w:noWrap/>
            <w:vAlign w:val="center"/>
            <w:hideMark/>
          </w:tcPr>
          <w:p w14:paraId="5388B917" w14:textId="77777777" w:rsidR="002461BF" w:rsidRPr="002461BF" w:rsidRDefault="002461BF" w:rsidP="002461BF">
            <w:pPr>
              <w:jc w:val="center"/>
              <w:rPr>
                <w:rFonts w:cs="Arial"/>
                <w:b/>
                <w:bCs/>
                <w:color w:val="000000"/>
                <w:lang w:val="de-DE"/>
              </w:rPr>
            </w:pPr>
            <w:r w:rsidRPr="002461BF">
              <w:rPr>
                <w:rFonts w:cs="Arial"/>
                <w:b/>
                <w:bCs/>
                <w:color w:val="000000"/>
                <w:lang w:val="de-DE"/>
              </w:rPr>
              <w:t>20%</w:t>
            </w:r>
          </w:p>
        </w:tc>
      </w:tr>
      <w:tr w:rsidR="002461BF" w:rsidRPr="002461BF" w14:paraId="46A5A274"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9500BAB" w14:textId="77777777" w:rsidR="002461BF" w:rsidRPr="002461BF" w:rsidRDefault="002461BF" w:rsidP="002461BF">
            <w:pPr>
              <w:rPr>
                <w:rFonts w:cs="Arial"/>
                <w:color w:val="000000"/>
                <w:lang w:val="de-DE"/>
              </w:rPr>
            </w:pPr>
            <w:r w:rsidRPr="002461BF">
              <w:rPr>
                <w:rFonts w:cs="Arial"/>
                <w:color w:val="000000"/>
                <w:lang w:val="de-DE"/>
              </w:rPr>
              <w:t xml:space="preserve">€ 21.617 bis </w:t>
            </w:r>
            <w:r w:rsidRPr="002461BF">
              <w:rPr>
                <w:rFonts w:cs="Arial"/>
                <w:b/>
                <w:bCs/>
                <w:color w:val="000000"/>
                <w:lang w:val="de-DE"/>
              </w:rPr>
              <w:t>€ 35.836</w:t>
            </w:r>
          </w:p>
        </w:tc>
        <w:tc>
          <w:tcPr>
            <w:tcW w:w="1097" w:type="dxa"/>
            <w:gridSpan w:val="2"/>
            <w:tcBorders>
              <w:top w:val="single" w:sz="8" w:space="0" w:color="auto"/>
              <w:left w:val="nil"/>
              <w:bottom w:val="single" w:sz="8" w:space="0" w:color="auto"/>
              <w:right w:val="single" w:sz="8" w:space="0" w:color="auto"/>
            </w:tcBorders>
            <w:shd w:val="clear" w:color="auto" w:fill="auto"/>
            <w:noWrap/>
            <w:vAlign w:val="center"/>
            <w:hideMark/>
          </w:tcPr>
          <w:p w14:paraId="3EDCA026" w14:textId="77777777" w:rsidR="002461BF" w:rsidRPr="002461BF" w:rsidRDefault="002461BF" w:rsidP="002461BF">
            <w:pPr>
              <w:jc w:val="center"/>
              <w:rPr>
                <w:rFonts w:cs="Arial"/>
                <w:b/>
                <w:bCs/>
                <w:color w:val="000000"/>
                <w:lang w:val="de-DE"/>
              </w:rPr>
            </w:pPr>
            <w:r w:rsidRPr="002461BF">
              <w:rPr>
                <w:rFonts w:cs="Arial"/>
                <w:b/>
                <w:bCs/>
                <w:color w:val="000000"/>
                <w:lang w:val="de-DE"/>
              </w:rPr>
              <w:t>30%</w:t>
            </w:r>
          </w:p>
        </w:tc>
        <w:tc>
          <w:tcPr>
            <w:tcW w:w="3155" w:type="dxa"/>
            <w:gridSpan w:val="3"/>
            <w:tcBorders>
              <w:top w:val="single" w:sz="8" w:space="0" w:color="auto"/>
              <w:left w:val="nil"/>
              <w:bottom w:val="single" w:sz="8" w:space="0" w:color="auto"/>
              <w:right w:val="single" w:sz="8" w:space="0" w:color="auto"/>
            </w:tcBorders>
            <w:shd w:val="clear" w:color="auto" w:fill="auto"/>
            <w:noWrap/>
            <w:vAlign w:val="center"/>
            <w:hideMark/>
          </w:tcPr>
          <w:p w14:paraId="30F8A367" w14:textId="77777777" w:rsidR="002461BF" w:rsidRPr="002461BF" w:rsidRDefault="002461BF" w:rsidP="002461BF">
            <w:pPr>
              <w:rPr>
                <w:rFonts w:cs="Arial"/>
                <w:color w:val="000000"/>
                <w:lang w:val="de-DE"/>
              </w:rPr>
            </w:pPr>
            <w:r w:rsidRPr="002461BF">
              <w:rPr>
                <w:rFonts w:cs="Arial"/>
                <w:color w:val="000000"/>
                <w:lang w:val="de-DE"/>
              </w:rPr>
              <w:t xml:space="preserve">€ 21.992 bis </w:t>
            </w:r>
            <w:r w:rsidRPr="002461BF">
              <w:rPr>
                <w:rFonts w:cs="Arial"/>
                <w:b/>
                <w:bCs/>
                <w:color w:val="000000"/>
                <w:lang w:val="de-DE"/>
              </w:rPr>
              <w:t>€ 36.458</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14:paraId="4DA178D7" w14:textId="77777777" w:rsidR="002461BF" w:rsidRPr="002461BF" w:rsidRDefault="002461BF" w:rsidP="002461BF">
            <w:pPr>
              <w:jc w:val="center"/>
              <w:rPr>
                <w:rFonts w:cs="Arial"/>
                <w:b/>
                <w:bCs/>
                <w:color w:val="000000"/>
                <w:lang w:val="de-DE"/>
              </w:rPr>
            </w:pPr>
            <w:r w:rsidRPr="002461BF">
              <w:rPr>
                <w:rFonts w:cs="Arial"/>
                <w:b/>
                <w:bCs/>
                <w:color w:val="000000"/>
                <w:lang w:val="de-DE"/>
              </w:rPr>
              <w:t>30%</w:t>
            </w:r>
          </w:p>
        </w:tc>
      </w:tr>
      <w:tr w:rsidR="002461BF" w:rsidRPr="002461BF" w14:paraId="1A11DF67"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000000" w:fill="D9E1F2"/>
            <w:noWrap/>
            <w:vAlign w:val="center"/>
            <w:hideMark/>
          </w:tcPr>
          <w:p w14:paraId="5B560784" w14:textId="77777777" w:rsidR="002461BF" w:rsidRPr="002461BF" w:rsidRDefault="002461BF" w:rsidP="002461BF">
            <w:pPr>
              <w:rPr>
                <w:rFonts w:cs="Arial"/>
                <w:color w:val="000000"/>
                <w:lang w:val="de-DE"/>
              </w:rPr>
            </w:pPr>
            <w:r w:rsidRPr="002461BF">
              <w:rPr>
                <w:rFonts w:cs="Arial"/>
                <w:color w:val="000000"/>
                <w:lang w:val="de-DE"/>
              </w:rPr>
              <w:t xml:space="preserve">€ 35.836 bis </w:t>
            </w:r>
            <w:r w:rsidRPr="002461BF">
              <w:rPr>
                <w:rFonts w:cs="Arial"/>
                <w:b/>
                <w:bCs/>
                <w:color w:val="000000"/>
                <w:lang w:val="de-DE"/>
              </w:rPr>
              <w:t>€ 69.166</w:t>
            </w:r>
          </w:p>
        </w:tc>
        <w:tc>
          <w:tcPr>
            <w:tcW w:w="1097" w:type="dxa"/>
            <w:gridSpan w:val="2"/>
            <w:tcBorders>
              <w:top w:val="single" w:sz="8" w:space="0" w:color="auto"/>
              <w:left w:val="nil"/>
              <w:bottom w:val="single" w:sz="8" w:space="0" w:color="auto"/>
              <w:right w:val="single" w:sz="8" w:space="0" w:color="auto"/>
            </w:tcBorders>
            <w:shd w:val="clear" w:color="000000" w:fill="D9E1F2"/>
            <w:noWrap/>
            <w:vAlign w:val="center"/>
            <w:hideMark/>
          </w:tcPr>
          <w:p w14:paraId="0E6B48D2" w14:textId="77777777" w:rsidR="002461BF" w:rsidRPr="002461BF" w:rsidRDefault="002461BF" w:rsidP="002461BF">
            <w:pPr>
              <w:jc w:val="center"/>
              <w:rPr>
                <w:rFonts w:cs="Arial"/>
                <w:b/>
                <w:bCs/>
                <w:color w:val="000000"/>
                <w:lang w:val="de-DE"/>
              </w:rPr>
            </w:pPr>
            <w:r w:rsidRPr="002461BF">
              <w:rPr>
                <w:rFonts w:cs="Arial"/>
                <w:b/>
                <w:bCs/>
                <w:lang w:val="de-DE"/>
              </w:rPr>
              <w:t>40%</w:t>
            </w:r>
          </w:p>
        </w:tc>
        <w:tc>
          <w:tcPr>
            <w:tcW w:w="3155" w:type="dxa"/>
            <w:gridSpan w:val="3"/>
            <w:tcBorders>
              <w:top w:val="single" w:sz="8" w:space="0" w:color="auto"/>
              <w:left w:val="nil"/>
              <w:bottom w:val="single" w:sz="8" w:space="0" w:color="auto"/>
              <w:right w:val="single" w:sz="8" w:space="0" w:color="auto"/>
            </w:tcBorders>
            <w:shd w:val="clear" w:color="000000" w:fill="B5E6A2"/>
            <w:noWrap/>
            <w:vAlign w:val="center"/>
            <w:hideMark/>
          </w:tcPr>
          <w:p w14:paraId="44D5490D" w14:textId="77777777" w:rsidR="002461BF" w:rsidRPr="002461BF" w:rsidRDefault="002461BF" w:rsidP="002461BF">
            <w:pPr>
              <w:rPr>
                <w:rFonts w:cs="Arial"/>
                <w:color w:val="000000"/>
                <w:lang w:val="de-DE"/>
              </w:rPr>
            </w:pPr>
            <w:r w:rsidRPr="002461BF">
              <w:rPr>
                <w:rFonts w:cs="Arial"/>
                <w:color w:val="000000"/>
                <w:lang w:val="de-DE"/>
              </w:rPr>
              <w:t xml:space="preserve">€ 36.458 bis </w:t>
            </w:r>
            <w:r w:rsidRPr="002461BF">
              <w:rPr>
                <w:rFonts w:cs="Arial"/>
                <w:b/>
                <w:bCs/>
                <w:color w:val="000000"/>
                <w:lang w:val="de-DE"/>
              </w:rPr>
              <w:t>€ 70.365</w:t>
            </w:r>
          </w:p>
        </w:tc>
        <w:tc>
          <w:tcPr>
            <w:tcW w:w="1200" w:type="dxa"/>
            <w:tcBorders>
              <w:top w:val="single" w:sz="8" w:space="0" w:color="auto"/>
              <w:left w:val="nil"/>
              <w:bottom w:val="single" w:sz="8" w:space="0" w:color="auto"/>
              <w:right w:val="single" w:sz="4" w:space="0" w:color="auto"/>
            </w:tcBorders>
            <w:shd w:val="clear" w:color="000000" w:fill="B5E6A2"/>
            <w:noWrap/>
            <w:vAlign w:val="center"/>
            <w:hideMark/>
          </w:tcPr>
          <w:p w14:paraId="45604A5E" w14:textId="77777777" w:rsidR="002461BF" w:rsidRPr="002461BF" w:rsidRDefault="002461BF" w:rsidP="002461BF">
            <w:pPr>
              <w:jc w:val="center"/>
              <w:rPr>
                <w:rFonts w:cs="Arial"/>
                <w:b/>
                <w:bCs/>
                <w:color w:val="000000"/>
                <w:lang w:val="de-DE"/>
              </w:rPr>
            </w:pPr>
            <w:r w:rsidRPr="002461BF">
              <w:rPr>
                <w:rFonts w:cs="Arial"/>
                <w:b/>
                <w:bCs/>
                <w:lang w:val="de-DE"/>
              </w:rPr>
              <w:t>40%</w:t>
            </w:r>
          </w:p>
        </w:tc>
      </w:tr>
      <w:tr w:rsidR="002461BF" w:rsidRPr="002461BF" w14:paraId="2C87F07C"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AB4316F" w14:textId="77777777" w:rsidR="002461BF" w:rsidRPr="002461BF" w:rsidRDefault="002461BF" w:rsidP="002461BF">
            <w:pPr>
              <w:rPr>
                <w:rFonts w:cs="Arial"/>
                <w:color w:val="000000"/>
                <w:lang w:val="de-DE"/>
              </w:rPr>
            </w:pPr>
            <w:r w:rsidRPr="002461BF">
              <w:rPr>
                <w:rFonts w:cs="Arial"/>
                <w:color w:val="000000"/>
                <w:lang w:val="de-DE"/>
              </w:rPr>
              <w:t>€ 69.166 bis</w:t>
            </w:r>
            <w:r w:rsidRPr="002461BF">
              <w:rPr>
                <w:rFonts w:cs="Arial"/>
                <w:b/>
                <w:bCs/>
                <w:color w:val="000000"/>
                <w:lang w:val="de-DE"/>
              </w:rPr>
              <w:t xml:space="preserve"> € 103.072</w:t>
            </w:r>
          </w:p>
        </w:tc>
        <w:tc>
          <w:tcPr>
            <w:tcW w:w="1097" w:type="dxa"/>
            <w:gridSpan w:val="2"/>
            <w:tcBorders>
              <w:top w:val="single" w:sz="8" w:space="0" w:color="auto"/>
              <w:left w:val="nil"/>
              <w:bottom w:val="single" w:sz="8" w:space="0" w:color="auto"/>
              <w:right w:val="single" w:sz="8" w:space="0" w:color="auto"/>
            </w:tcBorders>
            <w:shd w:val="clear" w:color="auto" w:fill="auto"/>
            <w:noWrap/>
            <w:vAlign w:val="center"/>
            <w:hideMark/>
          </w:tcPr>
          <w:p w14:paraId="2DD93FF3" w14:textId="77777777" w:rsidR="002461BF" w:rsidRPr="002461BF" w:rsidRDefault="002461BF" w:rsidP="002461BF">
            <w:pPr>
              <w:jc w:val="center"/>
              <w:rPr>
                <w:rFonts w:cs="Arial"/>
                <w:b/>
                <w:bCs/>
                <w:color w:val="000000"/>
                <w:lang w:val="de-DE"/>
              </w:rPr>
            </w:pPr>
            <w:r w:rsidRPr="002461BF">
              <w:rPr>
                <w:rFonts w:cs="Arial"/>
                <w:b/>
                <w:bCs/>
                <w:color w:val="000000"/>
                <w:lang w:val="de-DE"/>
              </w:rPr>
              <w:t>48%</w:t>
            </w:r>
          </w:p>
        </w:tc>
        <w:tc>
          <w:tcPr>
            <w:tcW w:w="3155" w:type="dxa"/>
            <w:gridSpan w:val="3"/>
            <w:tcBorders>
              <w:top w:val="single" w:sz="8" w:space="0" w:color="auto"/>
              <w:left w:val="nil"/>
              <w:bottom w:val="single" w:sz="8" w:space="0" w:color="auto"/>
              <w:right w:val="single" w:sz="8" w:space="0" w:color="auto"/>
            </w:tcBorders>
            <w:shd w:val="clear" w:color="auto" w:fill="auto"/>
            <w:noWrap/>
            <w:vAlign w:val="center"/>
            <w:hideMark/>
          </w:tcPr>
          <w:p w14:paraId="027711D7" w14:textId="77777777" w:rsidR="002461BF" w:rsidRPr="002461BF" w:rsidRDefault="002461BF" w:rsidP="002461BF">
            <w:pPr>
              <w:rPr>
                <w:rFonts w:cs="Arial"/>
                <w:color w:val="000000"/>
                <w:lang w:val="de-DE"/>
              </w:rPr>
            </w:pPr>
            <w:r w:rsidRPr="002461BF">
              <w:rPr>
                <w:rFonts w:cs="Arial"/>
                <w:color w:val="000000"/>
                <w:lang w:val="de-DE"/>
              </w:rPr>
              <w:t>€70.365 bis</w:t>
            </w:r>
            <w:r w:rsidRPr="002461BF">
              <w:rPr>
                <w:rFonts w:cs="Arial"/>
                <w:b/>
                <w:bCs/>
                <w:color w:val="000000"/>
                <w:lang w:val="de-DE"/>
              </w:rPr>
              <w:t xml:space="preserve"> € 104.859</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14:paraId="2CF4204D" w14:textId="77777777" w:rsidR="002461BF" w:rsidRPr="002461BF" w:rsidRDefault="002461BF" w:rsidP="002461BF">
            <w:pPr>
              <w:jc w:val="center"/>
              <w:rPr>
                <w:rFonts w:cs="Arial"/>
                <w:b/>
                <w:bCs/>
                <w:color w:val="000000"/>
                <w:lang w:val="de-DE"/>
              </w:rPr>
            </w:pPr>
            <w:r w:rsidRPr="002461BF">
              <w:rPr>
                <w:rFonts w:cs="Arial"/>
                <w:b/>
                <w:bCs/>
                <w:color w:val="000000"/>
                <w:lang w:val="de-DE"/>
              </w:rPr>
              <w:t>48%</w:t>
            </w:r>
          </w:p>
        </w:tc>
      </w:tr>
      <w:tr w:rsidR="002461BF" w:rsidRPr="002461BF" w14:paraId="39D3F728" w14:textId="77777777" w:rsidTr="002461BF">
        <w:trPr>
          <w:trHeight w:val="315"/>
        </w:trPr>
        <w:tc>
          <w:tcPr>
            <w:tcW w:w="3261" w:type="dxa"/>
            <w:tcBorders>
              <w:top w:val="single" w:sz="8" w:space="0" w:color="auto"/>
              <w:left w:val="single" w:sz="4" w:space="0" w:color="auto"/>
              <w:bottom w:val="single" w:sz="8" w:space="0" w:color="auto"/>
              <w:right w:val="single" w:sz="8" w:space="0" w:color="auto"/>
            </w:tcBorders>
            <w:shd w:val="clear" w:color="000000" w:fill="D9E1F2"/>
            <w:noWrap/>
            <w:vAlign w:val="center"/>
            <w:hideMark/>
          </w:tcPr>
          <w:p w14:paraId="76218C9A" w14:textId="77777777" w:rsidR="002461BF" w:rsidRPr="002461BF" w:rsidRDefault="002461BF" w:rsidP="002461BF">
            <w:pPr>
              <w:rPr>
                <w:rFonts w:cs="Arial"/>
                <w:color w:val="000000"/>
                <w:lang w:val="de-DE"/>
              </w:rPr>
            </w:pPr>
            <w:r w:rsidRPr="002461BF">
              <w:rPr>
                <w:rFonts w:cs="Arial"/>
                <w:color w:val="000000"/>
                <w:lang w:val="de-DE"/>
              </w:rPr>
              <w:t xml:space="preserve">€ 103.072 bis </w:t>
            </w:r>
            <w:r w:rsidRPr="002461BF">
              <w:rPr>
                <w:rFonts w:cs="Arial"/>
                <w:b/>
                <w:bCs/>
                <w:color w:val="000000"/>
                <w:lang w:val="de-DE"/>
              </w:rPr>
              <w:t>€ 1 Mio.</w:t>
            </w:r>
          </w:p>
        </w:tc>
        <w:tc>
          <w:tcPr>
            <w:tcW w:w="1097" w:type="dxa"/>
            <w:gridSpan w:val="2"/>
            <w:tcBorders>
              <w:top w:val="single" w:sz="8" w:space="0" w:color="auto"/>
              <w:left w:val="nil"/>
              <w:bottom w:val="single" w:sz="8" w:space="0" w:color="auto"/>
              <w:right w:val="single" w:sz="8" w:space="0" w:color="auto"/>
            </w:tcBorders>
            <w:shd w:val="clear" w:color="000000" w:fill="D9E1F2"/>
            <w:noWrap/>
            <w:vAlign w:val="center"/>
            <w:hideMark/>
          </w:tcPr>
          <w:p w14:paraId="001BDBB2" w14:textId="77777777" w:rsidR="002461BF" w:rsidRPr="002461BF" w:rsidRDefault="002461BF" w:rsidP="002461BF">
            <w:pPr>
              <w:jc w:val="center"/>
              <w:rPr>
                <w:rFonts w:cs="Arial"/>
                <w:b/>
                <w:bCs/>
                <w:color w:val="000000"/>
                <w:lang w:val="de-DE"/>
              </w:rPr>
            </w:pPr>
            <w:r w:rsidRPr="002461BF">
              <w:rPr>
                <w:rFonts w:cs="Arial"/>
                <w:b/>
                <w:bCs/>
                <w:color w:val="000000"/>
                <w:lang w:val="de-DE"/>
              </w:rPr>
              <w:t>50%</w:t>
            </w:r>
          </w:p>
        </w:tc>
        <w:tc>
          <w:tcPr>
            <w:tcW w:w="3155" w:type="dxa"/>
            <w:gridSpan w:val="3"/>
            <w:tcBorders>
              <w:top w:val="single" w:sz="8" w:space="0" w:color="auto"/>
              <w:left w:val="nil"/>
              <w:bottom w:val="single" w:sz="8" w:space="0" w:color="auto"/>
              <w:right w:val="single" w:sz="8" w:space="0" w:color="auto"/>
            </w:tcBorders>
            <w:shd w:val="clear" w:color="000000" w:fill="B5E6A2"/>
            <w:noWrap/>
            <w:vAlign w:val="center"/>
            <w:hideMark/>
          </w:tcPr>
          <w:p w14:paraId="47C7F6EF" w14:textId="77777777" w:rsidR="002461BF" w:rsidRPr="002461BF" w:rsidRDefault="002461BF" w:rsidP="002461BF">
            <w:pPr>
              <w:rPr>
                <w:rFonts w:cs="Arial"/>
                <w:color w:val="000000"/>
                <w:lang w:val="de-DE"/>
              </w:rPr>
            </w:pPr>
            <w:r w:rsidRPr="002461BF">
              <w:rPr>
                <w:rFonts w:cs="Arial"/>
                <w:color w:val="000000"/>
                <w:lang w:val="de-DE"/>
              </w:rPr>
              <w:t xml:space="preserve">€ 104.859 bis </w:t>
            </w:r>
            <w:r w:rsidRPr="002461BF">
              <w:rPr>
                <w:rFonts w:cs="Arial"/>
                <w:b/>
                <w:bCs/>
                <w:color w:val="000000"/>
                <w:lang w:val="de-DE"/>
              </w:rPr>
              <w:t>€ 1 Mio.</w:t>
            </w:r>
          </w:p>
        </w:tc>
        <w:tc>
          <w:tcPr>
            <w:tcW w:w="1200" w:type="dxa"/>
            <w:tcBorders>
              <w:top w:val="single" w:sz="8" w:space="0" w:color="auto"/>
              <w:left w:val="nil"/>
              <w:bottom w:val="single" w:sz="8" w:space="0" w:color="auto"/>
              <w:right w:val="single" w:sz="4" w:space="0" w:color="auto"/>
            </w:tcBorders>
            <w:shd w:val="clear" w:color="000000" w:fill="B5E6A2"/>
            <w:noWrap/>
            <w:vAlign w:val="center"/>
            <w:hideMark/>
          </w:tcPr>
          <w:p w14:paraId="5D58FC4D" w14:textId="77777777" w:rsidR="002461BF" w:rsidRPr="002461BF" w:rsidRDefault="002461BF" w:rsidP="002461BF">
            <w:pPr>
              <w:jc w:val="center"/>
              <w:rPr>
                <w:rFonts w:cs="Arial"/>
                <w:b/>
                <w:bCs/>
                <w:color w:val="000000"/>
                <w:lang w:val="de-DE"/>
              </w:rPr>
            </w:pPr>
            <w:r w:rsidRPr="002461BF">
              <w:rPr>
                <w:rFonts w:cs="Arial"/>
                <w:b/>
                <w:bCs/>
                <w:color w:val="000000"/>
                <w:lang w:val="de-DE"/>
              </w:rPr>
              <w:t>50%</w:t>
            </w:r>
          </w:p>
        </w:tc>
      </w:tr>
      <w:tr w:rsidR="002461BF" w:rsidRPr="002461BF" w14:paraId="11335567" w14:textId="77777777" w:rsidTr="002461BF">
        <w:trPr>
          <w:trHeight w:val="315"/>
        </w:trPr>
        <w:tc>
          <w:tcPr>
            <w:tcW w:w="326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3BD8390" w14:textId="77777777" w:rsidR="002461BF" w:rsidRPr="002461BF" w:rsidRDefault="002461BF" w:rsidP="002461BF">
            <w:pPr>
              <w:rPr>
                <w:rFonts w:cs="Arial"/>
                <w:color w:val="000000"/>
                <w:lang w:val="de-DE"/>
              </w:rPr>
            </w:pPr>
            <w:r w:rsidRPr="002461BF">
              <w:rPr>
                <w:rFonts w:cs="Arial"/>
                <w:color w:val="000000"/>
                <w:lang w:val="de-DE"/>
              </w:rPr>
              <w:t>ab € 1 Mio.</w:t>
            </w:r>
          </w:p>
        </w:tc>
        <w:tc>
          <w:tcPr>
            <w:tcW w:w="1097" w:type="dxa"/>
            <w:gridSpan w:val="2"/>
            <w:tcBorders>
              <w:top w:val="single" w:sz="8" w:space="0" w:color="auto"/>
              <w:left w:val="nil"/>
              <w:bottom w:val="single" w:sz="4" w:space="0" w:color="auto"/>
              <w:right w:val="single" w:sz="8" w:space="0" w:color="auto"/>
            </w:tcBorders>
            <w:shd w:val="clear" w:color="auto" w:fill="auto"/>
            <w:noWrap/>
            <w:vAlign w:val="center"/>
            <w:hideMark/>
          </w:tcPr>
          <w:p w14:paraId="686CF078" w14:textId="77777777" w:rsidR="002461BF" w:rsidRPr="002461BF" w:rsidRDefault="002461BF" w:rsidP="00115A93">
            <w:pPr>
              <w:jc w:val="center"/>
              <w:rPr>
                <w:lang w:val="de-DE"/>
              </w:rPr>
            </w:pPr>
            <w:r w:rsidRPr="002461BF">
              <w:rPr>
                <w:lang w:val="de-DE"/>
              </w:rPr>
              <w:t>55%</w:t>
            </w:r>
          </w:p>
        </w:tc>
        <w:tc>
          <w:tcPr>
            <w:tcW w:w="3155" w:type="dxa"/>
            <w:gridSpan w:val="3"/>
            <w:tcBorders>
              <w:top w:val="single" w:sz="8" w:space="0" w:color="auto"/>
              <w:left w:val="nil"/>
              <w:bottom w:val="single" w:sz="4" w:space="0" w:color="auto"/>
              <w:right w:val="single" w:sz="8" w:space="0" w:color="auto"/>
            </w:tcBorders>
            <w:shd w:val="clear" w:color="auto" w:fill="auto"/>
            <w:noWrap/>
            <w:vAlign w:val="center"/>
            <w:hideMark/>
          </w:tcPr>
          <w:p w14:paraId="36521E89" w14:textId="77777777" w:rsidR="002461BF" w:rsidRPr="002461BF" w:rsidRDefault="002461BF" w:rsidP="002461BF">
            <w:pPr>
              <w:rPr>
                <w:rFonts w:cs="Arial"/>
                <w:color w:val="000000"/>
                <w:lang w:val="de-DE"/>
              </w:rPr>
            </w:pPr>
            <w:r w:rsidRPr="002461BF">
              <w:rPr>
                <w:rFonts w:cs="Arial"/>
                <w:color w:val="000000"/>
                <w:lang w:val="de-DE"/>
              </w:rPr>
              <w:t>ab € 1 Mio.</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076A39AD" w14:textId="77777777" w:rsidR="002461BF" w:rsidRPr="002461BF" w:rsidRDefault="002461BF" w:rsidP="00115A93">
            <w:pPr>
              <w:jc w:val="center"/>
              <w:rPr>
                <w:lang w:val="de-DE"/>
              </w:rPr>
            </w:pPr>
            <w:r w:rsidRPr="002461BF">
              <w:rPr>
                <w:lang w:val="de-DE"/>
              </w:rPr>
              <w:t>55%</w:t>
            </w:r>
          </w:p>
        </w:tc>
      </w:tr>
    </w:tbl>
    <w:p w14:paraId="6ACBFBE8" w14:textId="77777777" w:rsidR="002461BF" w:rsidRDefault="002461BF" w:rsidP="00F1173A">
      <w:pPr>
        <w:rPr>
          <w:lang w:val="de-DE"/>
        </w:rPr>
      </w:pPr>
    </w:p>
    <w:p w14:paraId="4127B699" w14:textId="78A064F5" w:rsidR="00BD06A8" w:rsidRPr="00EA359E" w:rsidRDefault="00BD06A8" w:rsidP="00F1173A">
      <w:pPr>
        <w:pStyle w:val="berschrift2"/>
        <w:rPr>
          <w:lang w:val="de-DE"/>
        </w:rPr>
      </w:pPr>
      <w:r w:rsidRPr="00EA359E">
        <w:rPr>
          <w:lang w:val="de-DE"/>
        </w:rPr>
        <w:lastRenderedPageBreak/>
        <w:t>Absetzbeträge 202</w:t>
      </w:r>
      <w:r w:rsidR="002461BF">
        <w:rPr>
          <w:lang w:val="de-DE"/>
        </w:rPr>
        <w:t>6</w:t>
      </w:r>
    </w:p>
    <w:tbl>
      <w:tblPr>
        <w:tblW w:w="9481" w:type="dxa"/>
        <w:jc w:val="center"/>
        <w:tblCellMar>
          <w:left w:w="70" w:type="dxa"/>
          <w:right w:w="70" w:type="dxa"/>
        </w:tblCellMar>
        <w:tblLook w:val="04A0" w:firstRow="1" w:lastRow="0" w:firstColumn="1" w:lastColumn="0" w:noHBand="0" w:noVBand="1"/>
      </w:tblPr>
      <w:tblGrid>
        <w:gridCol w:w="3114"/>
        <w:gridCol w:w="1831"/>
        <w:gridCol w:w="2127"/>
        <w:gridCol w:w="2409"/>
      </w:tblGrid>
      <w:tr w:rsidR="00BD06A8" w:rsidRPr="00EA359E" w14:paraId="48FEFDA5" w14:textId="77777777" w:rsidTr="004A7B96">
        <w:trPr>
          <w:trHeight w:val="327"/>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D85A3" w14:textId="48487448" w:rsidR="00BD06A8" w:rsidRPr="00EA359E" w:rsidRDefault="00B72666" w:rsidP="00F1173A">
            <w:pPr>
              <w:rPr>
                <w:lang w:val="de-DE"/>
              </w:rPr>
            </w:pPr>
            <w:r w:rsidRPr="00EA359E">
              <w:rPr>
                <w:lang w:val="de-DE"/>
              </w:rPr>
              <w:t xml:space="preserve"> </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14:paraId="7EDCA1A4" w14:textId="77777777" w:rsidR="00BD06A8" w:rsidRPr="00EA359E" w:rsidRDefault="00BD06A8" w:rsidP="00B71DD0">
            <w:pPr>
              <w:ind w:right="141"/>
              <w:jc w:val="center"/>
              <w:rPr>
                <w:rFonts w:cs="Arial"/>
                <w:color w:val="000000"/>
                <w:lang w:val="de-DE"/>
              </w:rPr>
            </w:pPr>
            <w:r w:rsidRPr="00EA359E">
              <w:rPr>
                <w:rFonts w:cs="Arial"/>
                <w:lang w:val="de-DE"/>
              </w:rPr>
              <w:t>bei 1 Kind</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1321234" w14:textId="77777777" w:rsidR="00BD06A8" w:rsidRPr="00EA359E" w:rsidRDefault="00BD06A8" w:rsidP="00B71DD0">
            <w:pPr>
              <w:ind w:right="141"/>
              <w:jc w:val="center"/>
              <w:rPr>
                <w:rFonts w:cs="Arial"/>
                <w:color w:val="000000"/>
                <w:lang w:val="de-DE"/>
              </w:rPr>
            </w:pPr>
            <w:r w:rsidRPr="00EA359E">
              <w:rPr>
                <w:rFonts w:cs="Arial"/>
                <w:lang w:val="de-DE"/>
              </w:rPr>
              <w:t>bei 2 Kindern</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8F13806" w14:textId="77777777" w:rsidR="00BD06A8" w:rsidRPr="00EA359E" w:rsidRDefault="00BD06A8" w:rsidP="00B71DD0">
            <w:pPr>
              <w:ind w:right="141"/>
              <w:jc w:val="center"/>
              <w:rPr>
                <w:rFonts w:cs="Arial"/>
                <w:color w:val="000000"/>
                <w:lang w:val="de-DE"/>
              </w:rPr>
            </w:pPr>
            <w:r w:rsidRPr="00EA359E">
              <w:rPr>
                <w:rFonts w:cs="Arial"/>
                <w:lang w:val="de-DE"/>
              </w:rPr>
              <w:t>für jedes weitere Kind</w:t>
            </w:r>
          </w:p>
        </w:tc>
      </w:tr>
      <w:tr w:rsidR="00BD06A8" w:rsidRPr="00EA359E" w14:paraId="41394875" w14:textId="77777777" w:rsidTr="004B5EF9">
        <w:trPr>
          <w:trHeight w:val="510"/>
          <w:jc w:val="center"/>
        </w:trPr>
        <w:tc>
          <w:tcPr>
            <w:tcW w:w="3114"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9557702" w14:textId="2E05DBA5" w:rsidR="00BD06A8" w:rsidRPr="00EA359E" w:rsidRDefault="00BD06A8" w:rsidP="00F1173A">
            <w:pPr>
              <w:rPr>
                <w:lang w:val="de-DE"/>
              </w:rPr>
            </w:pPr>
            <w:r w:rsidRPr="00133BB5">
              <w:rPr>
                <w:b/>
                <w:bCs/>
                <w:lang w:val="de-DE"/>
              </w:rPr>
              <w:t>Alleinverdiener</w:t>
            </w:r>
            <w:r w:rsidRPr="00EA359E">
              <w:rPr>
                <w:b/>
                <w:bCs/>
                <w:lang w:val="de-DE"/>
              </w:rPr>
              <w:t>-</w:t>
            </w:r>
            <w:r w:rsidRPr="00EA359E">
              <w:rPr>
                <w:lang w:val="de-DE"/>
              </w:rPr>
              <w:t>/ Alleinerzieherabsetzbetrag bei Partnereinkommen bis €</w:t>
            </w:r>
            <w:r w:rsidR="002461BF">
              <w:rPr>
                <w:lang w:val="de-DE"/>
              </w:rPr>
              <w:t> </w:t>
            </w:r>
            <w:r w:rsidR="00B27630" w:rsidRPr="00EA359E">
              <w:rPr>
                <w:lang w:val="de-DE"/>
              </w:rPr>
              <w:t>7.</w:t>
            </w:r>
            <w:r w:rsidR="002461BF">
              <w:rPr>
                <w:lang w:val="de-DE"/>
              </w:rPr>
              <w:t>411</w:t>
            </w:r>
          </w:p>
        </w:tc>
        <w:tc>
          <w:tcPr>
            <w:tcW w:w="1831" w:type="dxa"/>
            <w:tcBorders>
              <w:top w:val="nil"/>
              <w:left w:val="nil"/>
              <w:bottom w:val="single" w:sz="4" w:space="0" w:color="auto"/>
              <w:right w:val="single" w:sz="4" w:space="0" w:color="auto"/>
            </w:tcBorders>
            <w:shd w:val="clear" w:color="auto" w:fill="DBE5F1" w:themeFill="accent1" w:themeFillTint="33"/>
            <w:vAlign w:val="center"/>
            <w:hideMark/>
          </w:tcPr>
          <w:p w14:paraId="5EC38049" w14:textId="390D6E88" w:rsidR="00BD06A8" w:rsidRPr="00EA359E" w:rsidRDefault="00BD06A8" w:rsidP="00B71DD0">
            <w:pPr>
              <w:ind w:right="141"/>
              <w:jc w:val="center"/>
              <w:rPr>
                <w:rFonts w:cs="Arial"/>
                <w:b/>
                <w:bCs/>
                <w:color w:val="000000"/>
                <w:lang w:val="de-DE"/>
              </w:rPr>
            </w:pPr>
            <w:r w:rsidRPr="00EA359E">
              <w:rPr>
                <w:rFonts w:cs="Arial"/>
                <w:b/>
                <w:bCs/>
              </w:rPr>
              <w:t>€</w:t>
            </w:r>
            <w:r w:rsidR="002461BF">
              <w:rPr>
                <w:rFonts w:cs="Arial"/>
                <w:b/>
                <w:bCs/>
              </w:rPr>
              <w:t> </w:t>
            </w:r>
            <w:r w:rsidR="007D4BBC" w:rsidRPr="00EA359E">
              <w:rPr>
                <w:rFonts w:cs="Arial"/>
                <w:b/>
                <w:bCs/>
              </w:rPr>
              <w:t>6</w:t>
            </w:r>
            <w:r w:rsidR="002461BF">
              <w:rPr>
                <w:rFonts w:cs="Arial"/>
                <w:b/>
                <w:bCs/>
              </w:rPr>
              <w:t>12</w:t>
            </w:r>
          </w:p>
        </w:tc>
        <w:tc>
          <w:tcPr>
            <w:tcW w:w="2127" w:type="dxa"/>
            <w:tcBorders>
              <w:top w:val="nil"/>
              <w:left w:val="nil"/>
              <w:bottom w:val="single" w:sz="4" w:space="0" w:color="auto"/>
              <w:right w:val="single" w:sz="4" w:space="0" w:color="auto"/>
            </w:tcBorders>
            <w:shd w:val="clear" w:color="auto" w:fill="DBE5F1" w:themeFill="accent1" w:themeFillTint="33"/>
            <w:vAlign w:val="center"/>
            <w:hideMark/>
          </w:tcPr>
          <w:p w14:paraId="0D1D5467" w14:textId="4BC6A1C7" w:rsidR="00BD06A8" w:rsidRPr="00EA359E" w:rsidRDefault="00BD06A8" w:rsidP="00B71DD0">
            <w:pPr>
              <w:ind w:right="141"/>
              <w:jc w:val="center"/>
              <w:rPr>
                <w:rFonts w:cs="Arial"/>
                <w:b/>
                <w:bCs/>
                <w:color w:val="000000"/>
                <w:lang w:val="de-DE"/>
              </w:rPr>
            </w:pPr>
            <w:r w:rsidRPr="00EA359E">
              <w:rPr>
                <w:rFonts w:cs="Arial"/>
                <w:b/>
                <w:bCs/>
              </w:rPr>
              <w:t>€</w:t>
            </w:r>
            <w:r w:rsidR="002461BF">
              <w:rPr>
                <w:rFonts w:cs="Arial"/>
                <w:b/>
                <w:bCs/>
              </w:rPr>
              <w:t> 82</w:t>
            </w:r>
            <w:r w:rsidR="003E092A">
              <w:rPr>
                <w:rFonts w:cs="Arial"/>
                <w:b/>
                <w:bCs/>
              </w:rPr>
              <w:t>8</w:t>
            </w:r>
          </w:p>
        </w:tc>
        <w:tc>
          <w:tcPr>
            <w:tcW w:w="2409" w:type="dxa"/>
            <w:tcBorders>
              <w:top w:val="nil"/>
              <w:left w:val="nil"/>
              <w:bottom w:val="single" w:sz="4" w:space="0" w:color="auto"/>
              <w:right w:val="single" w:sz="4" w:space="0" w:color="auto"/>
            </w:tcBorders>
            <w:shd w:val="clear" w:color="auto" w:fill="DBE5F1" w:themeFill="accent1" w:themeFillTint="33"/>
            <w:vAlign w:val="center"/>
            <w:hideMark/>
          </w:tcPr>
          <w:p w14:paraId="393BABC4" w14:textId="15380675" w:rsidR="002461BF" w:rsidRPr="00EA359E" w:rsidRDefault="00BD06A8" w:rsidP="002461BF">
            <w:pPr>
              <w:ind w:right="141"/>
              <w:jc w:val="center"/>
              <w:rPr>
                <w:rFonts w:cs="Arial"/>
                <w:b/>
                <w:bCs/>
                <w:color w:val="000000"/>
                <w:lang w:val="de-DE"/>
              </w:rPr>
            </w:pPr>
            <w:r w:rsidRPr="00EA359E">
              <w:rPr>
                <w:rFonts w:cs="Arial"/>
                <w:b/>
                <w:bCs/>
              </w:rPr>
              <w:t>€</w:t>
            </w:r>
            <w:r w:rsidR="002461BF">
              <w:rPr>
                <w:rFonts w:cs="Arial"/>
                <w:b/>
                <w:bCs/>
              </w:rPr>
              <w:t> 273</w:t>
            </w:r>
          </w:p>
        </w:tc>
      </w:tr>
      <w:tr w:rsidR="00BD06A8" w:rsidRPr="00EA359E" w14:paraId="2B7E2EA6" w14:textId="77777777" w:rsidTr="004B5EF9">
        <w:trPr>
          <w:trHeight w:val="371"/>
          <w:jc w:val="center"/>
        </w:trPr>
        <w:tc>
          <w:tcPr>
            <w:tcW w:w="3114" w:type="dxa"/>
            <w:tcBorders>
              <w:top w:val="single" w:sz="4" w:space="0" w:color="auto"/>
              <w:left w:val="single" w:sz="4" w:space="0" w:color="auto"/>
              <w:bottom w:val="single" w:sz="4" w:space="0" w:color="auto"/>
              <w:right w:val="nil"/>
            </w:tcBorders>
            <w:shd w:val="clear" w:color="auto" w:fill="B8CCE4" w:themeFill="accent1" w:themeFillTint="66"/>
            <w:noWrap/>
            <w:vAlign w:val="bottom"/>
            <w:hideMark/>
          </w:tcPr>
          <w:p w14:paraId="4D9D8A91" w14:textId="77777777" w:rsidR="00BD06A8" w:rsidRPr="00C02585" w:rsidRDefault="00BD06A8" w:rsidP="00F1173A">
            <w:pPr>
              <w:rPr>
                <w:b/>
                <w:bCs/>
                <w:color w:val="000000"/>
                <w:lang w:val="de-DE"/>
              </w:rPr>
            </w:pPr>
            <w:r w:rsidRPr="00C02585">
              <w:rPr>
                <w:b/>
                <w:bCs/>
                <w:lang w:val="de-DE"/>
              </w:rPr>
              <w:t>Unterhaltsabsetzbetrag</w:t>
            </w:r>
          </w:p>
        </w:tc>
        <w:tc>
          <w:tcPr>
            <w:tcW w:w="183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D9C341" w14:textId="648C741B" w:rsidR="00BD06A8" w:rsidRPr="00EA359E" w:rsidRDefault="00BD06A8" w:rsidP="00B71DD0">
            <w:pPr>
              <w:ind w:right="141"/>
              <w:jc w:val="center"/>
              <w:rPr>
                <w:rFonts w:cs="Arial"/>
                <w:b/>
                <w:bCs/>
                <w:color w:val="000000"/>
                <w:lang w:val="de-DE"/>
              </w:rPr>
            </w:pPr>
            <w:r w:rsidRPr="00EA359E">
              <w:rPr>
                <w:rFonts w:cs="Arial"/>
                <w:b/>
                <w:bCs/>
                <w:color w:val="000000"/>
                <w:lang w:val="de-DE"/>
              </w:rPr>
              <w:t>€ 3</w:t>
            </w:r>
            <w:r w:rsidR="002461BF">
              <w:rPr>
                <w:rFonts w:cs="Arial"/>
                <w:b/>
                <w:bCs/>
                <w:color w:val="000000"/>
                <w:lang w:val="de-DE"/>
              </w:rPr>
              <w:t>8</w:t>
            </w:r>
          </w:p>
        </w:tc>
        <w:tc>
          <w:tcPr>
            <w:tcW w:w="21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02461A4" w14:textId="22BBF0C5" w:rsidR="00BD06A8" w:rsidRPr="00EA359E" w:rsidRDefault="00BD06A8" w:rsidP="00B71DD0">
            <w:pPr>
              <w:ind w:right="141"/>
              <w:jc w:val="center"/>
              <w:rPr>
                <w:rFonts w:cs="Arial"/>
                <w:b/>
                <w:bCs/>
                <w:color w:val="000000"/>
                <w:lang w:val="de-DE"/>
              </w:rPr>
            </w:pPr>
            <w:r w:rsidRPr="00EA359E">
              <w:rPr>
                <w:rFonts w:cs="Arial"/>
                <w:b/>
                <w:bCs/>
                <w:color w:val="000000"/>
                <w:lang w:val="de-DE"/>
              </w:rPr>
              <w:t>€ 5</w:t>
            </w:r>
            <w:r w:rsidR="002461BF">
              <w:rPr>
                <w:rFonts w:cs="Arial"/>
                <w:b/>
                <w:bCs/>
                <w:color w:val="000000"/>
                <w:lang w:val="de-DE"/>
              </w:rPr>
              <w:t>6</w:t>
            </w:r>
          </w:p>
        </w:tc>
        <w:tc>
          <w:tcPr>
            <w:tcW w:w="2409"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EC29FEE" w14:textId="5868E551" w:rsidR="00BD06A8" w:rsidRPr="00EA359E" w:rsidRDefault="00BD06A8" w:rsidP="00B71DD0">
            <w:pPr>
              <w:ind w:right="141"/>
              <w:jc w:val="center"/>
              <w:rPr>
                <w:rFonts w:cs="Arial"/>
                <w:b/>
                <w:bCs/>
                <w:color w:val="000000"/>
                <w:lang w:val="de-DE"/>
              </w:rPr>
            </w:pPr>
            <w:r w:rsidRPr="00EA359E">
              <w:rPr>
                <w:rFonts w:cs="Arial"/>
                <w:b/>
                <w:bCs/>
                <w:color w:val="000000"/>
                <w:lang w:val="de-DE"/>
              </w:rPr>
              <w:t xml:space="preserve">€ </w:t>
            </w:r>
            <w:r w:rsidR="006D22EC" w:rsidRPr="00EA359E">
              <w:rPr>
                <w:rFonts w:cs="Arial"/>
                <w:b/>
                <w:bCs/>
                <w:color w:val="000000"/>
                <w:lang w:val="de-DE"/>
              </w:rPr>
              <w:t>7</w:t>
            </w:r>
            <w:r w:rsidR="002461BF">
              <w:rPr>
                <w:rFonts w:cs="Arial"/>
                <w:b/>
                <w:bCs/>
                <w:color w:val="000000"/>
                <w:lang w:val="de-DE"/>
              </w:rPr>
              <w:t>5</w:t>
            </w:r>
          </w:p>
        </w:tc>
      </w:tr>
    </w:tbl>
    <w:p w14:paraId="22D07132" w14:textId="77777777" w:rsidR="00BD06A8" w:rsidRPr="00EA359E" w:rsidRDefault="00BD06A8" w:rsidP="00F1173A">
      <w:pPr>
        <w:rPr>
          <w:lang w:val="de-DE"/>
        </w:rPr>
      </w:pPr>
    </w:p>
    <w:tbl>
      <w:tblPr>
        <w:tblW w:w="9493" w:type="dxa"/>
        <w:jc w:val="center"/>
        <w:tblCellMar>
          <w:left w:w="70" w:type="dxa"/>
          <w:right w:w="70" w:type="dxa"/>
        </w:tblCellMar>
        <w:tblLook w:val="04A0" w:firstRow="1" w:lastRow="0" w:firstColumn="1" w:lastColumn="0" w:noHBand="0" w:noVBand="1"/>
      </w:tblPr>
      <w:tblGrid>
        <w:gridCol w:w="2700"/>
        <w:gridCol w:w="1690"/>
        <w:gridCol w:w="1984"/>
        <w:gridCol w:w="1701"/>
        <w:gridCol w:w="1418"/>
      </w:tblGrid>
      <w:tr w:rsidR="00AD38CE" w:rsidRPr="00EA359E" w14:paraId="443461CD" w14:textId="77777777" w:rsidTr="004A7B96">
        <w:trPr>
          <w:trHeight w:val="307"/>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34B4E" w14:textId="3499F2A7" w:rsidR="00AD38CE" w:rsidRPr="00EA359E" w:rsidRDefault="00AD38CE" w:rsidP="00F1173A">
            <w:pPr>
              <w:rPr>
                <w:color w:val="000000"/>
                <w:lang w:val="de-DE"/>
              </w:rPr>
            </w:pPr>
            <w:r w:rsidRPr="00C02585">
              <w:rPr>
                <w:b/>
                <w:bCs/>
                <w:color w:val="000000"/>
                <w:lang w:val="de-DE"/>
              </w:rPr>
              <w:t>SV</w:t>
            </w:r>
            <w:r w:rsidRPr="00EA359E">
              <w:rPr>
                <w:color w:val="000000"/>
                <w:lang w:val="de-DE"/>
              </w:rPr>
              <w:t>-</w:t>
            </w:r>
            <w:r w:rsidRPr="00C02585">
              <w:rPr>
                <w:b/>
                <w:bCs/>
                <w:lang w:val="de-DE"/>
              </w:rPr>
              <w:t>Rückerstattung</w:t>
            </w:r>
            <w:r w:rsidRPr="00133BB5">
              <w:rPr>
                <w:lang w:val="de-DE"/>
              </w:rPr>
              <w:t xml:space="preserve"> </w:t>
            </w:r>
            <w:r w:rsidRPr="00EA359E">
              <w:rPr>
                <w:color w:val="000000"/>
                <w:lang w:val="de-DE"/>
              </w:rPr>
              <w:t>(</w:t>
            </w:r>
            <w:r w:rsidR="006D22EC" w:rsidRPr="00EA359E">
              <w:rPr>
                <w:color w:val="000000"/>
                <w:lang w:val="de-DE"/>
              </w:rPr>
              <w:t>55%</w:t>
            </w:r>
            <w:r w:rsidRPr="00EA359E">
              <w:rPr>
                <w:color w:val="000000"/>
                <w:lang w:val="de-DE"/>
              </w:rPr>
              <w:t>)</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7ABCB564" w14:textId="1DB7A8BD" w:rsidR="00AD38CE" w:rsidRPr="00EA359E" w:rsidRDefault="00AD38CE" w:rsidP="00F1173A">
            <w:pPr>
              <w:rPr>
                <w:lang w:val="de-DE"/>
              </w:rPr>
            </w:pPr>
            <w:r w:rsidRPr="00EA359E">
              <w:rPr>
                <w:lang w:val="de-DE"/>
              </w:rPr>
              <w:t>Arbeitnehmer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487B72A" w14:textId="1E4CF8A7" w:rsidR="00AD38CE" w:rsidRPr="00EA359E" w:rsidRDefault="00CA42C4" w:rsidP="00DB4078">
            <w:pPr>
              <w:ind w:right="141"/>
              <w:jc w:val="center"/>
              <w:rPr>
                <w:rFonts w:cs="Arial"/>
                <w:color w:val="000000"/>
                <w:lang w:val="de-DE"/>
              </w:rPr>
            </w:pPr>
            <w:r w:rsidRPr="00C926A9">
              <w:rPr>
                <w:rFonts w:cs="Arial"/>
                <w:lang w:val="de-DE"/>
              </w:rPr>
              <w:t xml:space="preserve">inklusive </w:t>
            </w:r>
            <w:r w:rsidR="00AD38CE" w:rsidRPr="00EA359E">
              <w:rPr>
                <w:rFonts w:cs="Arial"/>
                <w:color w:val="000000"/>
                <w:lang w:val="de-DE"/>
              </w:rPr>
              <w:t>Pendlerzuschlag</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58A8738" w14:textId="399A4BD9" w:rsidR="00AD38CE" w:rsidRPr="00EA359E" w:rsidRDefault="0020557A" w:rsidP="00DB4078">
            <w:pPr>
              <w:ind w:right="141"/>
              <w:rPr>
                <w:rFonts w:cs="Arial"/>
                <w:color w:val="000000"/>
                <w:lang w:val="de-DE"/>
              </w:rPr>
            </w:pPr>
            <w:r>
              <w:rPr>
                <w:rFonts w:cs="Arial"/>
                <w:color w:val="000000"/>
                <w:lang w:val="de-DE"/>
              </w:rPr>
              <w:t>z</w:t>
            </w:r>
            <w:r w:rsidR="00AD38CE" w:rsidRPr="00EA359E">
              <w:rPr>
                <w:rFonts w:cs="Arial"/>
                <w:color w:val="000000"/>
                <w:lang w:val="de-DE"/>
              </w:rPr>
              <w:t>zgl</w:t>
            </w:r>
            <w:r>
              <w:rPr>
                <w:rFonts w:cs="Arial"/>
                <w:color w:val="000000"/>
                <w:lang w:val="de-DE"/>
              </w:rPr>
              <w:t>.</w:t>
            </w:r>
            <w:r w:rsidR="00AD38CE" w:rsidRPr="00EA359E">
              <w:rPr>
                <w:rFonts w:cs="Arial"/>
                <w:color w:val="000000"/>
                <w:lang w:val="de-DE"/>
              </w:rPr>
              <w:t xml:space="preserve"> SV-Bonus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725BB1" w14:textId="29D12AE9" w:rsidR="00AD38CE" w:rsidRPr="00EA359E" w:rsidRDefault="00AD38CE" w:rsidP="00F1173A">
            <w:pPr>
              <w:rPr>
                <w:lang w:val="de-DE"/>
              </w:rPr>
            </w:pPr>
            <w:r w:rsidRPr="00EA359E">
              <w:rPr>
                <w:lang w:val="de-DE"/>
              </w:rPr>
              <w:t>Pensionist</w:t>
            </w:r>
          </w:p>
        </w:tc>
      </w:tr>
      <w:tr w:rsidR="00AD38CE" w:rsidRPr="00EA359E" w14:paraId="48858745" w14:textId="77777777" w:rsidTr="004B5EF9">
        <w:trPr>
          <w:trHeight w:val="415"/>
          <w:jc w:val="center"/>
        </w:trPr>
        <w:tc>
          <w:tcPr>
            <w:tcW w:w="2700" w:type="dxa"/>
            <w:tcBorders>
              <w:top w:val="nil"/>
              <w:left w:val="single" w:sz="4" w:space="0" w:color="auto"/>
              <w:bottom w:val="single" w:sz="4" w:space="0" w:color="auto"/>
              <w:right w:val="single" w:sz="4" w:space="0" w:color="auto"/>
            </w:tcBorders>
            <w:shd w:val="clear" w:color="auto" w:fill="B8CCE4" w:themeFill="accent1" w:themeFillTint="66"/>
            <w:noWrap/>
            <w:vAlign w:val="bottom"/>
          </w:tcPr>
          <w:p w14:paraId="2898E0C6" w14:textId="324700E3" w:rsidR="00AD38CE" w:rsidRPr="00DD2FDF" w:rsidRDefault="00AD38CE" w:rsidP="00DB4078">
            <w:pPr>
              <w:ind w:right="141"/>
              <w:rPr>
                <w:rFonts w:cs="Arial"/>
                <w:color w:val="000000"/>
                <w:lang w:val="de-DE"/>
              </w:rPr>
            </w:pPr>
            <w:r w:rsidRPr="00DD2FDF">
              <w:rPr>
                <w:rFonts w:cs="Arial"/>
                <w:color w:val="000000"/>
                <w:lang w:val="de-DE"/>
              </w:rPr>
              <w:t>jährlich</w:t>
            </w:r>
          </w:p>
        </w:tc>
        <w:tc>
          <w:tcPr>
            <w:tcW w:w="1690" w:type="dxa"/>
            <w:tcBorders>
              <w:top w:val="nil"/>
              <w:left w:val="nil"/>
              <w:bottom w:val="single" w:sz="4" w:space="0" w:color="auto"/>
              <w:right w:val="single" w:sz="4" w:space="0" w:color="auto"/>
            </w:tcBorders>
            <w:shd w:val="clear" w:color="auto" w:fill="B8CCE4" w:themeFill="accent1" w:themeFillTint="66"/>
            <w:noWrap/>
            <w:vAlign w:val="bottom"/>
            <w:hideMark/>
          </w:tcPr>
          <w:p w14:paraId="0BF3C39B" w14:textId="79DA28AD" w:rsidR="00AD38CE" w:rsidRPr="00EA359E" w:rsidRDefault="00AD38CE" w:rsidP="00DB4078">
            <w:pPr>
              <w:ind w:right="141"/>
              <w:jc w:val="center"/>
              <w:rPr>
                <w:rFonts w:cs="Arial"/>
                <w:b/>
                <w:bCs/>
                <w:color w:val="000000"/>
                <w:lang w:val="de-DE"/>
              </w:rPr>
            </w:pPr>
            <w:r w:rsidRPr="00EA359E">
              <w:rPr>
                <w:rFonts w:cs="Arial"/>
                <w:b/>
                <w:bCs/>
                <w:color w:val="000000"/>
                <w:lang w:val="de-DE"/>
              </w:rPr>
              <w:t>€ 4</w:t>
            </w:r>
            <w:r w:rsidR="00956BB7">
              <w:rPr>
                <w:rFonts w:cs="Arial"/>
                <w:b/>
                <w:bCs/>
                <w:color w:val="000000"/>
                <w:lang w:val="de-DE"/>
              </w:rPr>
              <w:t>96</w:t>
            </w:r>
          </w:p>
        </w:tc>
        <w:tc>
          <w:tcPr>
            <w:tcW w:w="1984" w:type="dxa"/>
            <w:tcBorders>
              <w:top w:val="nil"/>
              <w:left w:val="nil"/>
              <w:bottom w:val="single" w:sz="4" w:space="0" w:color="auto"/>
              <w:right w:val="single" w:sz="4" w:space="0" w:color="auto"/>
            </w:tcBorders>
            <w:shd w:val="clear" w:color="auto" w:fill="B8CCE4" w:themeFill="accent1" w:themeFillTint="66"/>
            <w:noWrap/>
            <w:vAlign w:val="bottom"/>
            <w:hideMark/>
          </w:tcPr>
          <w:p w14:paraId="21A3C337" w14:textId="32870B5B" w:rsidR="00AD38CE" w:rsidRPr="00EA359E" w:rsidRDefault="00AD38CE" w:rsidP="00DB4078">
            <w:pPr>
              <w:ind w:right="141"/>
              <w:jc w:val="center"/>
              <w:rPr>
                <w:rFonts w:cs="Arial"/>
                <w:b/>
                <w:bCs/>
                <w:color w:val="000000"/>
                <w:lang w:val="de-DE"/>
              </w:rPr>
            </w:pPr>
            <w:r w:rsidRPr="00EA359E">
              <w:rPr>
                <w:rFonts w:cs="Arial"/>
                <w:b/>
                <w:bCs/>
                <w:color w:val="000000"/>
                <w:lang w:val="de-DE"/>
              </w:rPr>
              <w:t xml:space="preserve">€ </w:t>
            </w:r>
            <w:r w:rsidR="00956BB7">
              <w:rPr>
                <w:rFonts w:cs="Arial"/>
                <w:b/>
                <w:bCs/>
                <w:color w:val="000000"/>
                <w:lang w:val="de-DE"/>
              </w:rPr>
              <w:t>750</w:t>
            </w:r>
          </w:p>
        </w:tc>
        <w:tc>
          <w:tcPr>
            <w:tcW w:w="1701" w:type="dxa"/>
            <w:tcBorders>
              <w:top w:val="nil"/>
              <w:left w:val="nil"/>
              <w:bottom w:val="single" w:sz="4" w:space="0" w:color="auto"/>
              <w:right w:val="single" w:sz="4" w:space="0" w:color="auto"/>
            </w:tcBorders>
            <w:shd w:val="clear" w:color="auto" w:fill="B8CCE4" w:themeFill="accent1" w:themeFillTint="66"/>
            <w:noWrap/>
            <w:vAlign w:val="bottom"/>
            <w:hideMark/>
          </w:tcPr>
          <w:p w14:paraId="2284C769" w14:textId="0AB6142A" w:rsidR="00AD38CE" w:rsidRPr="00EA359E" w:rsidRDefault="00AD38CE" w:rsidP="00DB4078">
            <w:pPr>
              <w:ind w:right="141"/>
              <w:jc w:val="center"/>
              <w:rPr>
                <w:rFonts w:cs="Arial"/>
                <w:b/>
                <w:bCs/>
                <w:color w:val="000000"/>
                <w:lang w:val="de-DE"/>
              </w:rPr>
            </w:pPr>
            <w:r w:rsidRPr="00EA359E">
              <w:rPr>
                <w:rFonts w:cs="Arial"/>
                <w:b/>
                <w:bCs/>
                <w:color w:val="000000"/>
                <w:lang w:val="de-DE"/>
              </w:rPr>
              <w:t xml:space="preserve">€ </w:t>
            </w:r>
            <w:r w:rsidR="00956BB7">
              <w:rPr>
                <w:rFonts w:cs="Arial"/>
                <w:b/>
                <w:bCs/>
                <w:color w:val="000000"/>
                <w:lang w:val="de-DE"/>
              </w:rPr>
              <w:t>804</w:t>
            </w:r>
          </w:p>
        </w:tc>
        <w:tc>
          <w:tcPr>
            <w:tcW w:w="1418" w:type="dxa"/>
            <w:tcBorders>
              <w:top w:val="nil"/>
              <w:left w:val="nil"/>
              <w:bottom w:val="single" w:sz="4" w:space="0" w:color="auto"/>
              <w:right w:val="single" w:sz="4" w:space="0" w:color="auto"/>
            </w:tcBorders>
            <w:shd w:val="clear" w:color="auto" w:fill="B8CCE4" w:themeFill="accent1" w:themeFillTint="66"/>
            <w:noWrap/>
            <w:vAlign w:val="bottom"/>
            <w:hideMark/>
          </w:tcPr>
          <w:p w14:paraId="5AE2C3FC" w14:textId="287C9ED8" w:rsidR="00AD38CE" w:rsidRPr="00EA359E" w:rsidRDefault="00AD38CE" w:rsidP="00DB4078">
            <w:pPr>
              <w:ind w:right="141"/>
              <w:jc w:val="center"/>
              <w:rPr>
                <w:rFonts w:cs="Arial"/>
                <w:b/>
                <w:bCs/>
                <w:color w:val="000000"/>
                <w:lang w:val="de-DE"/>
              </w:rPr>
            </w:pPr>
            <w:r w:rsidRPr="00EA359E">
              <w:rPr>
                <w:rFonts w:cs="Arial"/>
                <w:b/>
                <w:bCs/>
                <w:color w:val="000000"/>
                <w:lang w:val="de-DE"/>
              </w:rPr>
              <w:t xml:space="preserve">€ </w:t>
            </w:r>
            <w:r w:rsidR="00956BB7">
              <w:rPr>
                <w:rFonts w:cs="Arial"/>
                <w:b/>
                <w:bCs/>
                <w:color w:val="000000"/>
                <w:lang w:val="de-DE"/>
              </w:rPr>
              <w:t>7</w:t>
            </w:r>
            <w:r w:rsidR="00C02585">
              <w:rPr>
                <w:rFonts w:cs="Arial"/>
                <w:b/>
                <w:bCs/>
                <w:color w:val="000000"/>
                <w:lang w:val="de-DE"/>
              </w:rPr>
              <w:t>23</w:t>
            </w:r>
          </w:p>
        </w:tc>
      </w:tr>
    </w:tbl>
    <w:p w14:paraId="45A32B0C" w14:textId="77777777" w:rsidR="00BD06A8" w:rsidRPr="00EA359E" w:rsidRDefault="00BD06A8" w:rsidP="00F1173A">
      <w:pPr>
        <w:rPr>
          <w:lang w:val="de-DE"/>
        </w:rPr>
      </w:pPr>
    </w:p>
    <w:tbl>
      <w:tblPr>
        <w:tblW w:w="9498" w:type="dxa"/>
        <w:jc w:val="center"/>
        <w:tblCellMar>
          <w:left w:w="70" w:type="dxa"/>
          <w:right w:w="70" w:type="dxa"/>
        </w:tblCellMar>
        <w:tblLook w:val="04A0" w:firstRow="1" w:lastRow="0" w:firstColumn="1" w:lastColumn="0" w:noHBand="0" w:noVBand="1"/>
      </w:tblPr>
      <w:tblGrid>
        <w:gridCol w:w="2371"/>
        <w:gridCol w:w="267"/>
        <w:gridCol w:w="86"/>
        <w:gridCol w:w="910"/>
        <w:gridCol w:w="849"/>
        <w:gridCol w:w="337"/>
        <w:gridCol w:w="449"/>
        <w:gridCol w:w="158"/>
        <w:gridCol w:w="8"/>
        <w:gridCol w:w="941"/>
        <w:gridCol w:w="889"/>
        <w:gridCol w:w="968"/>
        <w:gridCol w:w="1265"/>
      </w:tblGrid>
      <w:tr w:rsidR="00C557CF" w:rsidRPr="00EA359E" w14:paraId="6BBB7F26" w14:textId="77777777" w:rsidTr="005C746E">
        <w:trPr>
          <w:trHeight w:val="195"/>
          <w:jc w:val="center"/>
        </w:trPr>
        <w:tc>
          <w:tcPr>
            <w:tcW w:w="2724" w:type="dxa"/>
            <w:gridSpan w:val="3"/>
            <w:tcBorders>
              <w:top w:val="nil"/>
              <w:left w:val="nil"/>
              <w:bottom w:val="single" w:sz="4" w:space="0" w:color="auto"/>
              <w:right w:val="nil"/>
            </w:tcBorders>
            <w:shd w:val="clear" w:color="auto" w:fill="auto"/>
            <w:noWrap/>
            <w:vAlign w:val="bottom"/>
            <w:hideMark/>
          </w:tcPr>
          <w:p w14:paraId="1FB7420E" w14:textId="77777777" w:rsidR="00BD06A8" w:rsidRPr="00EA359E" w:rsidRDefault="00BD06A8" w:rsidP="00DB4078">
            <w:pPr>
              <w:ind w:right="141"/>
              <w:rPr>
                <w:rFonts w:cs="Arial"/>
                <w:lang w:val="de-DE"/>
              </w:rPr>
            </w:pPr>
          </w:p>
        </w:tc>
        <w:tc>
          <w:tcPr>
            <w:tcW w:w="2096" w:type="dxa"/>
            <w:gridSpan w:val="3"/>
            <w:tcBorders>
              <w:top w:val="nil"/>
              <w:left w:val="nil"/>
              <w:bottom w:val="single" w:sz="4" w:space="0" w:color="auto"/>
              <w:right w:val="nil"/>
            </w:tcBorders>
            <w:shd w:val="clear" w:color="auto" w:fill="auto"/>
            <w:noWrap/>
            <w:vAlign w:val="bottom"/>
            <w:hideMark/>
          </w:tcPr>
          <w:p w14:paraId="546DCCA1" w14:textId="77777777" w:rsidR="00BD06A8" w:rsidRPr="00EA359E" w:rsidRDefault="00BD06A8" w:rsidP="00DB4078">
            <w:pPr>
              <w:ind w:right="141"/>
              <w:rPr>
                <w:rFonts w:cs="Arial"/>
                <w:lang w:val="de-DE"/>
              </w:rPr>
            </w:pPr>
          </w:p>
        </w:tc>
        <w:tc>
          <w:tcPr>
            <w:tcW w:w="449" w:type="dxa"/>
            <w:tcBorders>
              <w:top w:val="nil"/>
              <w:left w:val="nil"/>
              <w:bottom w:val="single" w:sz="4" w:space="0" w:color="auto"/>
              <w:right w:val="nil"/>
            </w:tcBorders>
            <w:shd w:val="clear" w:color="auto" w:fill="auto"/>
            <w:noWrap/>
            <w:vAlign w:val="bottom"/>
            <w:hideMark/>
          </w:tcPr>
          <w:p w14:paraId="13502983" w14:textId="77777777" w:rsidR="00BD06A8" w:rsidRPr="00EA359E" w:rsidRDefault="00BD06A8" w:rsidP="00DB4078">
            <w:pPr>
              <w:ind w:right="141"/>
              <w:rPr>
                <w:rFonts w:cs="Arial"/>
                <w:lang w:val="de-DE"/>
              </w:rPr>
            </w:pPr>
          </w:p>
        </w:tc>
        <w:tc>
          <w:tcPr>
            <w:tcW w:w="158" w:type="dxa"/>
            <w:tcBorders>
              <w:top w:val="nil"/>
              <w:left w:val="nil"/>
              <w:bottom w:val="single" w:sz="4" w:space="0" w:color="auto"/>
              <w:right w:val="nil"/>
            </w:tcBorders>
            <w:shd w:val="clear" w:color="auto" w:fill="auto"/>
            <w:noWrap/>
            <w:vAlign w:val="bottom"/>
            <w:hideMark/>
          </w:tcPr>
          <w:p w14:paraId="05554515" w14:textId="77777777" w:rsidR="00BD06A8" w:rsidRPr="00EA359E" w:rsidRDefault="00BD06A8" w:rsidP="00DB4078">
            <w:pPr>
              <w:ind w:right="141"/>
              <w:rPr>
                <w:rFonts w:cs="Arial"/>
                <w:lang w:val="de-DE"/>
              </w:rPr>
            </w:pPr>
          </w:p>
        </w:tc>
        <w:tc>
          <w:tcPr>
            <w:tcW w:w="407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47FCD6" w14:textId="77777777" w:rsidR="00BD06A8" w:rsidRPr="00EA359E" w:rsidRDefault="00BD06A8" w:rsidP="00C02585">
            <w:pPr>
              <w:jc w:val="center"/>
              <w:rPr>
                <w:lang w:val="de-DE"/>
              </w:rPr>
            </w:pPr>
            <w:proofErr w:type="spellStart"/>
            <w:r w:rsidRPr="00EA359E">
              <w:rPr>
                <w:lang w:val="de-DE"/>
              </w:rPr>
              <w:t>Einschleifgrenzen</w:t>
            </w:r>
            <w:proofErr w:type="spellEnd"/>
          </w:p>
        </w:tc>
      </w:tr>
      <w:tr w:rsidR="00C557CF" w:rsidRPr="00EA359E" w14:paraId="1DE61440" w14:textId="77777777" w:rsidTr="005C746E">
        <w:trPr>
          <w:trHeight w:val="300"/>
          <w:jc w:val="center"/>
        </w:trPr>
        <w:tc>
          <w:tcPr>
            <w:tcW w:w="2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9B3BE" w14:textId="16FEE5E4" w:rsidR="00BD06A8" w:rsidRPr="00C02585" w:rsidRDefault="00AD38CE" w:rsidP="00F1173A">
            <w:pPr>
              <w:rPr>
                <w:b/>
                <w:bCs/>
                <w:color w:val="000000"/>
                <w:lang w:val="de-DE"/>
              </w:rPr>
            </w:pPr>
            <w:r w:rsidRPr="00C02585">
              <w:rPr>
                <w:b/>
                <w:bCs/>
                <w:lang w:val="de-DE"/>
              </w:rPr>
              <w:t>Verkehrsabsetzbetrag</w:t>
            </w:r>
          </w:p>
        </w:tc>
        <w:tc>
          <w:tcPr>
            <w:tcW w:w="126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4138E4" w14:textId="77777777" w:rsidR="00BD06A8" w:rsidRPr="00EA359E" w:rsidRDefault="00BD06A8" w:rsidP="00DB4078">
            <w:pPr>
              <w:rPr>
                <w:rFonts w:cs="Arial"/>
                <w:color w:val="000000"/>
                <w:lang w:val="de-DE"/>
              </w:rPr>
            </w:pPr>
            <w:r w:rsidRPr="00EA359E">
              <w:rPr>
                <w:rFonts w:cs="Arial"/>
                <w:color w:val="000000"/>
                <w:lang w:val="de-DE"/>
              </w:rPr>
              <w:t>Grundbetrag</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3F307DDC" w14:textId="77777777" w:rsidR="00BD06A8" w:rsidRPr="00EA359E" w:rsidRDefault="00BD06A8" w:rsidP="00DB4078">
            <w:pPr>
              <w:ind w:right="141"/>
              <w:rPr>
                <w:rFonts w:cs="Arial"/>
                <w:color w:val="000000"/>
                <w:lang w:val="de-DE"/>
              </w:rPr>
            </w:pPr>
            <w:r w:rsidRPr="00EA359E">
              <w:rPr>
                <w:rFonts w:cs="Arial"/>
                <w:color w:val="000000"/>
                <w:lang w:val="de-DE"/>
              </w:rPr>
              <w:t>erhöht</w:t>
            </w:r>
          </w:p>
        </w:tc>
        <w:tc>
          <w:tcPr>
            <w:tcW w:w="95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5944A7" w14:textId="77777777" w:rsidR="00BD06A8" w:rsidRPr="00EA359E" w:rsidRDefault="00BD06A8" w:rsidP="00DB4078">
            <w:pPr>
              <w:rPr>
                <w:rFonts w:cs="Arial"/>
                <w:color w:val="000000"/>
                <w:lang w:val="de-DE"/>
              </w:rPr>
            </w:pPr>
            <w:r w:rsidRPr="00EA359E">
              <w:rPr>
                <w:rFonts w:cs="Arial"/>
                <w:color w:val="000000"/>
                <w:lang w:val="de-DE"/>
              </w:rPr>
              <w:t>Zuschlag</w:t>
            </w:r>
          </w:p>
        </w:tc>
        <w:tc>
          <w:tcPr>
            <w:tcW w:w="18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5AB8B70" w14:textId="77777777" w:rsidR="00BD06A8" w:rsidRPr="00EA359E" w:rsidRDefault="00BD06A8" w:rsidP="00F1173A">
            <w:pPr>
              <w:rPr>
                <w:lang w:val="de-DE"/>
              </w:rPr>
            </w:pPr>
            <w:r w:rsidRPr="00EA359E">
              <w:rPr>
                <w:lang w:val="de-DE"/>
              </w:rPr>
              <w:t>erhöhter VAB</w:t>
            </w:r>
          </w:p>
        </w:tc>
        <w:tc>
          <w:tcPr>
            <w:tcW w:w="22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11408C" w14:textId="77777777" w:rsidR="00BD06A8" w:rsidRPr="00EA359E" w:rsidRDefault="00BD06A8" w:rsidP="00F1173A">
            <w:pPr>
              <w:rPr>
                <w:lang w:val="de-DE"/>
              </w:rPr>
            </w:pPr>
            <w:r w:rsidRPr="00EA359E">
              <w:rPr>
                <w:lang w:val="de-DE"/>
              </w:rPr>
              <w:t>Zuschlag zum VAB</w:t>
            </w:r>
          </w:p>
        </w:tc>
      </w:tr>
      <w:tr w:rsidR="00C557CF" w:rsidRPr="00EA359E" w14:paraId="518AED3A" w14:textId="77777777" w:rsidTr="004B5EF9">
        <w:trPr>
          <w:trHeight w:val="300"/>
          <w:jc w:val="center"/>
        </w:trPr>
        <w:tc>
          <w:tcPr>
            <w:tcW w:w="2638" w:type="dxa"/>
            <w:gridSpan w:val="2"/>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1EA3A97A" w14:textId="320D70CF" w:rsidR="00BD06A8" w:rsidRPr="00DD2FDF" w:rsidRDefault="00AD38CE" w:rsidP="00DB4078">
            <w:pPr>
              <w:rPr>
                <w:rFonts w:cs="Arial"/>
                <w:color w:val="000000"/>
                <w:lang w:val="de-DE"/>
              </w:rPr>
            </w:pPr>
            <w:r w:rsidRPr="00DD2FDF">
              <w:rPr>
                <w:rFonts w:cs="Arial"/>
                <w:color w:val="000000"/>
                <w:lang w:val="de-DE"/>
              </w:rPr>
              <w:t>jährlich</w:t>
            </w:r>
          </w:p>
        </w:tc>
        <w:tc>
          <w:tcPr>
            <w:tcW w:w="996" w:type="dxa"/>
            <w:gridSpan w:val="2"/>
            <w:tcBorders>
              <w:top w:val="nil"/>
              <w:left w:val="nil"/>
              <w:bottom w:val="single" w:sz="4" w:space="0" w:color="auto"/>
              <w:right w:val="single" w:sz="4" w:space="0" w:color="auto"/>
            </w:tcBorders>
            <w:shd w:val="clear" w:color="auto" w:fill="B8CCE4" w:themeFill="accent1" w:themeFillTint="66"/>
            <w:noWrap/>
            <w:vAlign w:val="bottom"/>
            <w:hideMark/>
          </w:tcPr>
          <w:p w14:paraId="07A97914" w14:textId="3D684B66" w:rsidR="00BD06A8" w:rsidRPr="00EA359E" w:rsidRDefault="00BD06A8" w:rsidP="00DB4078">
            <w:pPr>
              <w:jc w:val="center"/>
              <w:rPr>
                <w:rFonts w:cs="Arial"/>
                <w:b/>
                <w:bCs/>
                <w:color w:val="000000"/>
                <w:highlight w:val="yellow"/>
                <w:lang w:val="de-DE"/>
              </w:rPr>
            </w:pPr>
            <w:r w:rsidRPr="00EA359E">
              <w:rPr>
                <w:rFonts w:cs="Arial"/>
                <w:b/>
                <w:bCs/>
                <w:color w:val="000000"/>
                <w:lang w:val="de-DE"/>
              </w:rPr>
              <w:t>€ 4</w:t>
            </w:r>
            <w:r w:rsidR="002461BF">
              <w:rPr>
                <w:rFonts w:cs="Arial"/>
                <w:b/>
                <w:bCs/>
                <w:color w:val="000000"/>
                <w:lang w:val="de-DE"/>
              </w:rPr>
              <w:t>96</w:t>
            </w:r>
          </w:p>
        </w:tc>
        <w:tc>
          <w:tcPr>
            <w:tcW w:w="849" w:type="dxa"/>
            <w:tcBorders>
              <w:top w:val="nil"/>
              <w:left w:val="nil"/>
              <w:bottom w:val="single" w:sz="4" w:space="0" w:color="auto"/>
              <w:right w:val="single" w:sz="4" w:space="0" w:color="auto"/>
            </w:tcBorders>
            <w:shd w:val="clear" w:color="auto" w:fill="B8CCE4" w:themeFill="accent1" w:themeFillTint="66"/>
            <w:noWrap/>
            <w:vAlign w:val="bottom"/>
            <w:hideMark/>
          </w:tcPr>
          <w:p w14:paraId="0B9699E2" w14:textId="5C2A16BB" w:rsidR="00BD06A8" w:rsidRPr="00EA359E" w:rsidRDefault="00AD38CE" w:rsidP="00DB4078">
            <w:pPr>
              <w:ind w:right="141"/>
              <w:jc w:val="center"/>
              <w:rPr>
                <w:rFonts w:cs="Arial"/>
                <w:b/>
                <w:bCs/>
                <w:color w:val="000000"/>
                <w:lang w:val="de-DE"/>
              </w:rPr>
            </w:pPr>
            <w:r w:rsidRPr="00EA359E">
              <w:rPr>
                <w:rFonts w:cs="Arial"/>
                <w:b/>
                <w:bCs/>
                <w:color w:val="000000"/>
                <w:lang w:val="de-DE"/>
              </w:rPr>
              <w:t>€ 8</w:t>
            </w:r>
            <w:r w:rsidR="002461BF">
              <w:rPr>
                <w:rFonts w:cs="Arial"/>
                <w:b/>
                <w:bCs/>
                <w:color w:val="000000"/>
                <w:lang w:val="de-DE"/>
              </w:rPr>
              <w:t>53</w:t>
            </w:r>
          </w:p>
        </w:tc>
        <w:tc>
          <w:tcPr>
            <w:tcW w:w="952" w:type="dxa"/>
            <w:gridSpan w:val="4"/>
            <w:tcBorders>
              <w:top w:val="nil"/>
              <w:left w:val="nil"/>
              <w:bottom w:val="single" w:sz="4" w:space="0" w:color="auto"/>
              <w:right w:val="single" w:sz="4" w:space="0" w:color="auto"/>
            </w:tcBorders>
            <w:shd w:val="clear" w:color="auto" w:fill="B8CCE4" w:themeFill="accent1" w:themeFillTint="66"/>
            <w:noWrap/>
            <w:vAlign w:val="bottom"/>
            <w:hideMark/>
          </w:tcPr>
          <w:p w14:paraId="2B9A2D9F" w14:textId="75080A27" w:rsidR="00BD06A8" w:rsidRPr="00EA359E" w:rsidRDefault="00BD06A8" w:rsidP="00DB4078">
            <w:pPr>
              <w:ind w:right="141"/>
              <w:jc w:val="center"/>
              <w:rPr>
                <w:rFonts w:cs="Arial"/>
                <w:b/>
                <w:bCs/>
                <w:color w:val="000000"/>
                <w:lang w:val="de-DE"/>
              </w:rPr>
            </w:pPr>
            <w:r w:rsidRPr="00EA359E">
              <w:rPr>
                <w:rFonts w:cs="Arial"/>
                <w:b/>
                <w:bCs/>
                <w:color w:val="000000"/>
                <w:lang w:val="de-DE"/>
              </w:rPr>
              <w:t xml:space="preserve">€ </w:t>
            </w:r>
            <w:r w:rsidR="002461BF">
              <w:rPr>
                <w:rFonts w:cs="Arial"/>
                <w:b/>
                <w:bCs/>
                <w:color w:val="000000"/>
                <w:lang w:val="de-DE"/>
              </w:rPr>
              <w:t>804</w:t>
            </w:r>
          </w:p>
        </w:tc>
        <w:tc>
          <w:tcPr>
            <w:tcW w:w="941" w:type="dxa"/>
            <w:tcBorders>
              <w:top w:val="nil"/>
              <w:left w:val="nil"/>
              <w:bottom w:val="single" w:sz="4" w:space="0" w:color="auto"/>
              <w:right w:val="single" w:sz="4" w:space="0" w:color="auto"/>
            </w:tcBorders>
            <w:shd w:val="clear" w:color="auto" w:fill="B8CCE4" w:themeFill="accent1" w:themeFillTint="66"/>
            <w:noWrap/>
            <w:vAlign w:val="bottom"/>
            <w:hideMark/>
          </w:tcPr>
          <w:p w14:paraId="54D50148" w14:textId="1F33D2BA" w:rsidR="002461BF" w:rsidRPr="00EA359E" w:rsidRDefault="002461BF" w:rsidP="002461BF">
            <w:pPr>
              <w:ind w:left="-90" w:right="-114"/>
              <w:jc w:val="center"/>
              <w:rPr>
                <w:rFonts w:cs="Arial"/>
                <w:b/>
                <w:bCs/>
                <w:color w:val="000000"/>
                <w:lang w:val="de-DE"/>
              </w:rPr>
            </w:pPr>
            <w:r>
              <w:rPr>
                <w:rFonts w:cs="Arial"/>
                <w:b/>
                <w:bCs/>
                <w:color w:val="000000"/>
                <w:lang w:val="de-DE"/>
              </w:rPr>
              <w:t xml:space="preserve">€ 15.069  </w:t>
            </w:r>
          </w:p>
        </w:tc>
        <w:tc>
          <w:tcPr>
            <w:tcW w:w="889" w:type="dxa"/>
            <w:tcBorders>
              <w:top w:val="nil"/>
              <w:left w:val="nil"/>
              <w:bottom w:val="single" w:sz="4" w:space="0" w:color="auto"/>
              <w:right w:val="single" w:sz="4" w:space="0" w:color="auto"/>
            </w:tcBorders>
            <w:shd w:val="clear" w:color="auto" w:fill="B8CCE4" w:themeFill="accent1" w:themeFillTint="66"/>
            <w:noWrap/>
            <w:vAlign w:val="bottom"/>
            <w:hideMark/>
          </w:tcPr>
          <w:p w14:paraId="0A9EFCCE" w14:textId="49C72B03" w:rsidR="002461BF" w:rsidRPr="00EA359E" w:rsidRDefault="002461BF" w:rsidP="002461BF">
            <w:pPr>
              <w:ind w:left="-90"/>
              <w:jc w:val="center"/>
              <w:rPr>
                <w:rFonts w:cs="Arial"/>
                <w:b/>
                <w:bCs/>
                <w:color w:val="000000"/>
                <w:lang w:val="de-DE"/>
              </w:rPr>
            </w:pPr>
            <w:r>
              <w:rPr>
                <w:rFonts w:cs="Arial"/>
                <w:b/>
                <w:bCs/>
                <w:color w:val="000000"/>
                <w:lang w:val="de-DE"/>
              </w:rPr>
              <w:t>€ 16.056</w:t>
            </w:r>
          </w:p>
        </w:tc>
        <w:tc>
          <w:tcPr>
            <w:tcW w:w="968" w:type="dxa"/>
            <w:tcBorders>
              <w:top w:val="nil"/>
              <w:left w:val="nil"/>
              <w:bottom w:val="single" w:sz="4" w:space="0" w:color="auto"/>
              <w:right w:val="single" w:sz="4" w:space="0" w:color="auto"/>
            </w:tcBorders>
            <w:shd w:val="clear" w:color="auto" w:fill="B8CCE4" w:themeFill="accent1" w:themeFillTint="66"/>
            <w:noWrap/>
            <w:vAlign w:val="bottom"/>
            <w:hideMark/>
          </w:tcPr>
          <w:p w14:paraId="10550F8E" w14:textId="7CDDEEED" w:rsidR="00BD06A8" w:rsidRPr="00EA359E" w:rsidRDefault="00AD38CE" w:rsidP="00DB4078">
            <w:pPr>
              <w:ind w:left="-90"/>
              <w:jc w:val="center"/>
              <w:rPr>
                <w:rFonts w:cs="Arial"/>
                <w:b/>
                <w:bCs/>
                <w:color w:val="000000"/>
                <w:lang w:val="de-DE"/>
              </w:rPr>
            </w:pPr>
            <w:r w:rsidRPr="00EA359E">
              <w:rPr>
                <w:rFonts w:cs="Arial"/>
                <w:b/>
                <w:bCs/>
                <w:color w:val="000000"/>
                <w:lang w:val="de-DE"/>
              </w:rPr>
              <w:t>€ 19.</w:t>
            </w:r>
            <w:r w:rsidR="002461BF">
              <w:rPr>
                <w:rFonts w:cs="Arial"/>
                <w:b/>
                <w:bCs/>
                <w:color w:val="000000"/>
                <w:lang w:val="de-DE"/>
              </w:rPr>
              <w:t>761</w:t>
            </w:r>
          </w:p>
        </w:tc>
        <w:tc>
          <w:tcPr>
            <w:tcW w:w="1265" w:type="dxa"/>
            <w:tcBorders>
              <w:top w:val="nil"/>
              <w:left w:val="nil"/>
              <w:bottom w:val="single" w:sz="4" w:space="0" w:color="auto"/>
              <w:right w:val="single" w:sz="4" w:space="0" w:color="auto"/>
            </w:tcBorders>
            <w:shd w:val="clear" w:color="auto" w:fill="B8CCE4" w:themeFill="accent1" w:themeFillTint="66"/>
            <w:noWrap/>
            <w:vAlign w:val="bottom"/>
            <w:hideMark/>
          </w:tcPr>
          <w:p w14:paraId="2A426E37" w14:textId="50B3DD0B" w:rsidR="00BD06A8" w:rsidRPr="00EA359E" w:rsidRDefault="00BD06A8" w:rsidP="00DB4078">
            <w:pPr>
              <w:ind w:left="-90"/>
              <w:jc w:val="center"/>
              <w:rPr>
                <w:rFonts w:cs="Arial"/>
                <w:b/>
                <w:bCs/>
                <w:color w:val="000000"/>
                <w:lang w:val="de-DE"/>
              </w:rPr>
            </w:pPr>
            <w:r w:rsidRPr="00EA359E">
              <w:rPr>
                <w:rFonts w:cs="Arial"/>
                <w:b/>
                <w:bCs/>
                <w:color w:val="000000"/>
                <w:lang w:val="de-DE"/>
              </w:rPr>
              <w:t xml:space="preserve">€ </w:t>
            </w:r>
            <w:r w:rsidR="002461BF">
              <w:rPr>
                <w:rFonts w:cs="Arial"/>
                <w:b/>
                <w:bCs/>
                <w:color w:val="000000"/>
                <w:lang w:val="de-DE"/>
              </w:rPr>
              <w:t>30.259</w:t>
            </w:r>
          </w:p>
        </w:tc>
      </w:tr>
    </w:tbl>
    <w:p w14:paraId="59BB9B37" w14:textId="77777777" w:rsidR="00BD06A8" w:rsidRPr="00EA359E" w:rsidRDefault="00BD06A8" w:rsidP="00F1173A">
      <w:pPr>
        <w:rPr>
          <w:lang w:val="de-DE"/>
        </w:rPr>
      </w:pPr>
    </w:p>
    <w:tbl>
      <w:tblPr>
        <w:tblW w:w="9494" w:type="dxa"/>
        <w:jc w:val="center"/>
        <w:tblCellMar>
          <w:left w:w="70" w:type="dxa"/>
          <w:right w:w="70" w:type="dxa"/>
        </w:tblCellMar>
        <w:tblLook w:val="04A0" w:firstRow="1" w:lastRow="0" w:firstColumn="1" w:lastColumn="0" w:noHBand="0" w:noVBand="1"/>
      </w:tblPr>
      <w:tblGrid>
        <w:gridCol w:w="988"/>
        <w:gridCol w:w="1275"/>
        <w:gridCol w:w="1134"/>
        <w:gridCol w:w="1086"/>
        <w:gridCol w:w="1068"/>
        <w:gridCol w:w="993"/>
        <w:gridCol w:w="1114"/>
        <w:gridCol w:w="1836"/>
      </w:tblGrid>
      <w:tr w:rsidR="00E2363A" w:rsidRPr="00EA359E" w14:paraId="2A36481E" w14:textId="77777777" w:rsidTr="004B5EF9">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E8252" w14:textId="1B8321E3" w:rsidR="00BD06A8" w:rsidRPr="00EA359E" w:rsidRDefault="00BD06A8" w:rsidP="00DB4078">
            <w:pPr>
              <w:ind w:right="-1"/>
              <w:jc w:val="center"/>
              <w:rPr>
                <w:rFonts w:cs="Arial"/>
                <w:b/>
                <w:bCs/>
                <w:color w:val="000000"/>
                <w:lang w:val="de-DE"/>
              </w:rPr>
            </w:pPr>
          </w:p>
        </w:tc>
        <w:tc>
          <w:tcPr>
            <w:tcW w:w="34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1A4880" w14:textId="77777777" w:rsidR="00BD06A8" w:rsidRPr="00133BB5" w:rsidRDefault="00BD06A8" w:rsidP="00DB4078">
            <w:pPr>
              <w:ind w:right="-1"/>
              <w:jc w:val="center"/>
              <w:rPr>
                <w:rFonts w:cs="Arial"/>
                <w:b/>
                <w:bCs/>
                <w:lang w:val="de-DE"/>
              </w:rPr>
            </w:pPr>
            <w:proofErr w:type="spellStart"/>
            <w:r w:rsidRPr="00133BB5">
              <w:rPr>
                <w:rFonts w:cs="Arial"/>
                <w:b/>
                <w:bCs/>
                <w:lang w:val="de-DE"/>
              </w:rPr>
              <w:t>Pensionistenabsetzbetrag</w:t>
            </w:r>
            <w:proofErr w:type="spellEnd"/>
          </w:p>
        </w:tc>
        <w:tc>
          <w:tcPr>
            <w:tcW w:w="50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355C1FA2" w14:textId="77777777" w:rsidR="00BD06A8" w:rsidRPr="00EA359E" w:rsidRDefault="00BD06A8" w:rsidP="00DB4078">
            <w:pPr>
              <w:ind w:right="-1"/>
              <w:jc w:val="center"/>
              <w:rPr>
                <w:rFonts w:cs="Arial"/>
                <w:b/>
                <w:bCs/>
                <w:color w:val="000000"/>
                <w:lang w:val="de-DE"/>
              </w:rPr>
            </w:pPr>
            <w:r w:rsidRPr="00EA359E">
              <w:rPr>
                <w:rFonts w:cs="Arial"/>
                <w:b/>
                <w:bCs/>
                <w:color w:val="000000"/>
                <w:lang w:val="de-DE"/>
              </w:rPr>
              <w:t xml:space="preserve">Erhöhter </w:t>
            </w:r>
            <w:proofErr w:type="spellStart"/>
            <w:r w:rsidRPr="00EA359E">
              <w:rPr>
                <w:rFonts w:cs="Arial"/>
                <w:b/>
                <w:bCs/>
                <w:color w:val="000000"/>
                <w:lang w:val="de-DE"/>
              </w:rPr>
              <w:t>Pensionistenabsetzbetrag</w:t>
            </w:r>
            <w:proofErr w:type="spellEnd"/>
          </w:p>
        </w:tc>
      </w:tr>
      <w:tr w:rsidR="00C926A9" w:rsidRPr="00EA359E" w14:paraId="5BADA80C" w14:textId="77777777" w:rsidTr="004B5EF9">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97E90" w14:textId="77777777" w:rsidR="00BD06A8" w:rsidRPr="00EA359E" w:rsidRDefault="00BD06A8" w:rsidP="00DB4078">
            <w:pPr>
              <w:ind w:right="-1"/>
              <w:jc w:val="center"/>
              <w:rPr>
                <w:rFonts w:cs="Arial"/>
                <w:color w:val="000000"/>
                <w:lang w:val="de-DE"/>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F2B83" w14:textId="05FA3508" w:rsidR="00BD06A8" w:rsidRPr="00133BB5" w:rsidRDefault="00BD06A8" w:rsidP="00F1173A">
            <w:pPr>
              <w:rPr>
                <w:lang w:val="de-DE"/>
              </w:rPr>
            </w:pPr>
            <w:r w:rsidRPr="00133BB5">
              <w:rPr>
                <w:lang w:val="de-DE"/>
              </w:rPr>
              <w:t>Grundbetrag</w:t>
            </w:r>
          </w:p>
        </w:tc>
        <w:tc>
          <w:tcPr>
            <w:tcW w:w="22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3580E" w14:textId="6AD127E7" w:rsidR="00BD06A8" w:rsidRPr="00133BB5" w:rsidRDefault="00BD06A8" w:rsidP="00DB4078">
            <w:pPr>
              <w:ind w:right="-1"/>
              <w:jc w:val="center"/>
              <w:rPr>
                <w:rFonts w:cs="Arial"/>
                <w:lang w:val="de-DE"/>
              </w:rPr>
            </w:pPr>
            <w:proofErr w:type="spellStart"/>
            <w:r w:rsidRPr="00133BB5">
              <w:rPr>
                <w:rFonts w:cs="Arial"/>
                <w:lang w:val="de-DE"/>
              </w:rPr>
              <w:t>Einschleifgrenzen</w:t>
            </w:r>
            <w:proofErr w:type="spellEnd"/>
          </w:p>
        </w:tc>
        <w:tc>
          <w:tcPr>
            <w:tcW w:w="1068"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56D615C8" w14:textId="77777777" w:rsidR="00BD06A8" w:rsidRPr="00EA359E" w:rsidRDefault="00BD06A8" w:rsidP="00DB4078">
            <w:pPr>
              <w:ind w:right="-1"/>
              <w:jc w:val="center"/>
              <w:rPr>
                <w:rFonts w:cs="Arial"/>
                <w:b/>
                <w:bCs/>
                <w:color w:val="000000"/>
                <w:lang w:val="de-DE"/>
              </w:rPr>
            </w:pPr>
          </w:p>
        </w:tc>
        <w:tc>
          <w:tcPr>
            <w:tcW w:w="2107"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3F657349" w14:textId="4CC5F341" w:rsidR="00BD06A8" w:rsidRPr="00EA359E" w:rsidRDefault="00BD06A8" w:rsidP="00DB4078">
            <w:pPr>
              <w:ind w:right="-1"/>
              <w:jc w:val="center"/>
              <w:rPr>
                <w:rFonts w:cs="Arial"/>
                <w:color w:val="000000"/>
                <w:lang w:val="de-DE"/>
              </w:rPr>
            </w:pPr>
            <w:proofErr w:type="spellStart"/>
            <w:r w:rsidRPr="00EA359E">
              <w:rPr>
                <w:rFonts w:cs="Arial"/>
                <w:color w:val="000000"/>
                <w:lang w:val="de-DE"/>
              </w:rPr>
              <w:t>Einschleifgrenzen</w:t>
            </w:r>
            <w:proofErr w:type="spellEnd"/>
            <w:r w:rsidRPr="00EA359E">
              <w:rPr>
                <w:rFonts w:cs="Arial"/>
                <w:color w:val="000000"/>
                <w:lang w:val="de-DE"/>
              </w:rPr>
              <w:t xml:space="preserve"> </w:t>
            </w:r>
          </w:p>
        </w:tc>
        <w:tc>
          <w:tcPr>
            <w:tcW w:w="183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551BC31" w14:textId="6111E139" w:rsidR="00BD06A8" w:rsidRPr="00EA359E" w:rsidRDefault="00BD06A8" w:rsidP="00DB4078">
            <w:pPr>
              <w:ind w:right="-1"/>
              <w:jc w:val="center"/>
              <w:rPr>
                <w:rFonts w:cs="Arial"/>
                <w:color w:val="000000"/>
                <w:lang w:val="de-DE"/>
              </w:rPr>
            </w:pPr>
            <w:r w:rsidRPr="00EA359E">
              <w:rPr>
                <w:rFonts w:cs="Arial"/>
                <w:color w:val="000000"/>
                <w:lang w:val="de-DE"/>
              </w:rPr>
              <w:t>Partnereinkommen</w:t>
            </w:r>
          </w:p>
        </w:tc>
      </w:tr>
      <w:tr w:rsidR="00C926A9" w:rsidRPr="00EA359E" w14:paraId="79CFE894" w14:textId="77777777" w:rsidTr="004419A0">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014C521" w14:textId="10B7D131" w:rsidR="00BD06A8" w:rsidRPr="00EA359E" w:rsidRDefault="00AD38CE" w:rsidP="00F1173A">
            <w:pPr>
              <w:rPr>
                <w:b/>
                <w:bCs/>
                <w:lang w:val="de-DE"/>
              </w:rPr>
            </w:pPr>
            <w:r w:rsidRPr="00EA359E">
              <w:rPr>
                <w:lang w:val="de-DE"/>
              </w:rPr>
              <w:t>jährlich</w:t>
            </w:r>
          </w:p>
        </w:tc>
        <w:tc>
          <w:tcPr>
            <w:tcW w:w="1275" w:type="dxa"/>
            <w:tcBorders>
              <w:top w:val="nil"/>
              <w:left w:val="nil"/>
              <w:bottom w:val="single" w:sz="4" w:space="0" w:color="auto"/>
              <w:right w:val="single" w:sz="4" w:space="0" w:color="auto"/>
            </w:tcBorders>
            <w:shd w:val="clear" w:color="auto" w:fill="auto"/>
            <w:noWrap/>
            <w:vAlign w:val="bottom"/>
            <w:hideMark/>
          </w:tcPr>
          <w:p w14:paraId="27DB44A1" w14:textId="70186C1D" w:rsidR="00BD06A8" w:rsidRPr="00133BB5" w:rsidRDefault="00BD06A8" w:rsidP="00DB4078">
            <w:pPr>
              <w:ind w:right="-1"/>
              <w:jc w:val="center"/>
              <w:rPr>
                <w:rFonts w:cs="Arial"/>
                <w:b/>
                <w:bCs/>
                <w:lang w:val="de-DE"/>
              </w:rPr>
            </w:pPr>
            <w:r w:rsidRPr="00133BB5">
              <w:rPr>
                <w:rFonts w:cs="Arial"/>
                <w:b/>
                <w:bCs/>
                <w:lang w:val="de-DE"/>
              </w:rPr>
              <w:t xml:space="preserve">€ </w:t>
            </w:r>
            <w:r w:rsidR="006D22EC" w:rsidRPr="00133BB5">
              <w:rPr>
                <w:rFonts w:cs="Arial"/>
                <w:b/>
                <w:bCs/>
                <w:lang w:val="de-DE"/>
              </w:rPr>
              <w:t>1.0</w:t>
            </w:r>
            <w:r w:rsidR="002461BF" w:rsidRPr="00133BB5">
              <w:rPr>
                <w:rFonts w:cs="Arial"/>
                <w:b/>
                <w:bCs/>
                <w:lang w:val="de-DE"/>
              </w:rPr>
              <w:t>20</w:t>
            </w:r>
          </w:p>
        </w:tc>
        <w:tc>
          <w:tcPr>
            <w:tcW w:w="1134" w:type="dxa"/>
            <w:tcBorders>
              <w:top w:val="nil"/>
              <w:left w:val="nil"/>
              <w:bottom w:val="single" w:sz="4" w:space="0" w:color="auto"/>
              <w:right w:val="single" w:sz="4" w:space="0" w:color="auto"/>
            </w:tcBorders>
            <w:shd w:val="clear" w:color="auto" w:fill="auto"/>
            <w:noWrap/>
            <w:vAlign w:val="bottom"/>
            <w:hideMark/>
          </w:tcPr>
          <w:p w14:paraId="21E48C76" w14:textId="4AD614D0" w:rsidR="00BD06A8" w:rsidRPr="00133BB5" w:rsidRDefault="00BD06A8" w:rsidP="00DB4078">
            <w:pPr>
              <w:ind w:right="-1"/>
              <w:jc w:val="center"/>
              <w:rPr>
                <w:rFonts w:cs="Arial"/>
                <w:lang w:val="de-DE"/>
              </w:rPr>
            </w:pPr>
            <w:r w:rsidRPr="00133BB5">
              <w:rPr>
                <w:rFonts w:cs="Arial"/>
                <w:lang w:val="de-DE"/>
              </w:rPr>
              <w:t xml:space="preserve">€ </w:t>
            </w:r>
            <w:r w:rsidR="006D22EC" w:rsidRPr="00133BB5">
              <w:rPr>
                <w:rFonts w:cs="Arial"/>
                <w:lang w:val="de-DE"/>
              </w:rPr>
              <w:t>21.</w:t>
            </w:r>
            <w:r w:rsidR="002461BF" w:rsidRPr="00133BB5">
              <w:rPr>
                <w:rFonts w:cs="Arial"/>
                <w:lang w:val="de-DE"/>
              </w:rPr>
              <w:t>614</w:t>
            </w:r>
          </w:p>
        </w:tc>
        <w:tc>
          <w:tcPr>
            <w:tcW w:w="1086" w:type="dxa"/>
            <w:tcBorders>
              <w:top w:val="nil"/>
              <w:left w:val="nil"/>
              <w:bottom w:val="single" w:sz="4" w:space="0" w:color="auto"/>
              <w:right w:val="single" w:sz="4" w:space="0" w:color="auto"/>
            </w:tcBorders>
            <w:shd w:val="clear" w:color="auto" w:fill="auto"/>
            <w:noWrap/>
            <w:vAlign w:val="bottom"/>
            <w:hideMark/>
          </w:tcPr>
          <w:p w14:paraId="57ED58A4" w14:textId="3E3F0220" w:rsidR="00BD06A8" w:rsidRPr="00133BB5" w:rsidRDefault="00BD06A8" w:rsidP="00DB4078">
            <w:pPr>
              <w:ind w:right="-1"/>
              <w:jc w:val="center"/>
              <w:rPr>
                <w:rFonts w:cs="Arial"/>
                <w:lang w:val="de-DE"/>
              </w:rPr>
            </w:pPr>
            <w:r w:rsidRPr="00133BB5">
              <w:rPr>
                <w:rFonts w:cs="Arial"/>
                <w:lang w:val="de-DE"/>
              </w:rPr>
              <w:t xml:space="preserve">€ </w:t>
            </w:r>
            <w:r w:rsidR="002461BF" w:rsidRPr="00133BB5">
              <w:rPr>
                <w:rFonts w:cs="Arial"/>
                <w:lang w:val="de-DE"/>
              </w:rPr>
              <w:t>31.494</w:t>
            </w:r>
          </w:p>
        </w:tc>
        <w:tc>
          <w:tcPr>
            <w:tcW w:w="1068" w:type="dxa"/>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476E7A3F" w14:textId="02F864B0" w:rsidR="00BD06A8" w:rsidRPr="00EA359E" w:rsidRDefault="00BD06A8" w:rsidP="00DB4078">
            <w:pPr>
              <w:ind w:right="-1"/>
              <w:jc w:val="center"/>
              <w:rPr>
                <w:rFonts w:cs="Arial"/>
                <w:b/>
                <w:bCs/>
                <w:color w:val="000000"/>
                <w:lang w:val="de-DE"/>
              </w:rPr>
            </w:pPr>
            <w:r w:rsidRPr="00EA359E">
              <w:rPr>
                <w:rFonts w:cs="Arial"/>
                <w:b/>
                <w:bCs/>
                <w:color w:val="000000"/>
                <w:lang w:val="de-DE"/>
              </w:rPr>
              <w:t>€ 1</w:t>
            </w:r>
            <w:r w:rsidR="002461BF">
              <w:rPr>
                <w:rFonts w:cs="Arial"/>
                <w:b/>
                <w:bCs/>
                <w:color w:val="000000"/>
                <w:lang w:val="de-DE"/>
              </w:rPr>
              <w:t>.502</w:t>
            </w:r>
          </w:p>
        </w:tc>
        <w:tc>
          <w:tcPr>
            <w:tcW w:w="993" w:type="dxa"/>
            <w:tcBorders>
              <w:top w:val="nil"/>
              <w:left w:val="nil"/>
              <w:bottom w:val="single" w:sz="4" w:space="0" w:color="auto"/>
              <w:right w:val="single" w:sz="4" w:space="0" w:color="auto"/>
            </w:tcBorders>
            <w:shd w:val="clear" w:color="auto" w:fill="B8CCE4" w:themeFill="accent1" w:themeFillTint="66"/>
            <w:noWrap/>
            <w:vAlign w:val="bottom"/>
            <w:hideMark/>
          </w:tcPr>
          <w:p w14:paraId="7454A796" w14:textId="3CDC51D1" w:rsidR="00BD06A8" w:rsidRPr="00EA359E" w:rsidRDefault="00BD06A8" w:rsidP="00DB4078">
            <w:pPr>
              <w:ind w:right="-1"/>
              <w:jc w:val="center"/>
              <w:rPr>
                <w:rFonts w:cs="Arial"/>
                <w:color w:val="000000"/>
                <w:lang w:val="de-DE"/>
              </w:rPr>
            </w:pPr>
            <w:r w:rsidRPr="00EA359E">
              <w:rPr>
                <w:rFonts w:cs="Arial"/>
                <w:color w:val="000000"/>
                <w:lang w:val="de-DE"/>
              </w:rPr>
              <w:t xml:space="preserve">€ </w:t>
            </w:r>
            <w:r w:rsidR="006D22EC" w:rsidRPr="00EA359E">
              <w:rPr>
                <w:rFonts w:cs="Arial"/>
                <w:color w:val="000000"/>
                <w:lang w:val="de-DE"/>
              </w:rPr>
              <w:t>24.</w:t>
            </w:r>
            <w:r w:rsidR="002461BF">
              <w:rPr>
                <w:rFonts w:cs="Arial"/>
                <w:color w:val="000000"/>
                <w:lang w:val="de-DE"/>
              </w:rPr>
              <w:t>616</w:t>
            </w:r>
          </w:p>
        </w:tc>
        <w:tc>
          <w:tcPr>
            <w:tcW w:w="1114" w:type="dxa"/>
            <w:tcBorders>
              <w:top w:val="nil"/>
              <w:left w:val="nil"/>
              <w:bottom w:val="single" w:sz="4" w:space="0" w:color="auto"/>
              <w:right w:val="single" w:sz="4" w:space="0" w:color="auto"/>
            </w:tcBorders>
            <w:shd w:val="clear" w:color="auto" w:fill="B8CCE4" w:themeFill="accent1" w:themeFillTint="66"/>
            <w:noWrap/>
            <w:vAlign w:val="bottom"/>
            <w:hideMark/>
          </w:tcPr>
          <w:p w14:paraId="6EAE2A7D" w14:textId="5C49C478" w:rsidR="00BD06A8" w:rsidRPr="00EA359E" w:rsidRDefault="00BD06A8" w:rsidP="00DB4078">
            <w:pPr>
              <w:ind w:right="-1"/>
              <w:jc w:val="center"/>
              <w:rPr>
                <w:rFonts w:cs="Arial"/>
                <w:color w:val="000000"/>
                <w:lang w:val="de-DE"/>
              </w:rPr>
            </w:pPr>
            <w:r w:rsidRPr="00EA359E">
              <w:rPr>
                <w:rFonts w:cs="Arial"/>
                <w:color w:val="000000"/>
                <w:lang w:val="de-DE"/>
              </w:rPr>
              <w:t xml:space="preserve">€ </w:t>
            </w:r>
            <w:r w:rsidR="002461BF">
              <w:rPr>
                <w:rFonts w:cs="Arial"/>
                <w:color w:val="000000"/>
                <w:lang w:val="de-DE"/>
              </w:rPr>
              <w:t>31.494</w:t>
            </w:r>
          </w:p>
        </w:tc>
        <w:tc>
          <w:tcPr>
            <w:tcW w:w="1836" w:type="dxa"/>
            <w:tcBorders>
              <w:top w:val="nil"/>
              <w:left w:val="nil"/>
              <w:bottom w:val="single" w:sz="4" w:space="0" w:color="auto"/>
              <w:right w:val="single" w:sz="4" w:space="0" w:color="auto"/>
            </w:tcBorders>
            <w:shd w:val="clear" w:color="auto" w:fill="B8CCE4" w:themeFill="accent1" w:themeFillTint="66"/>
            <w:noWrap/>
            <w:vAlign w:val="bottom"/>
            <w:hideMark/>
          </w:tcPr>
          <w:p w14:paraId="2AA0E723" w14:textId="04AE09A6" w:rsidR="00BD06A8" w:rsidRPr="00EA359E" w:rsidRDefault="00BD06A8" w:rsidP="00DB4078">
            <w:pPr>
              <w:ind w:right="-1"/>
              <w:jc w:val="center"/>
              <w:rPr>
                <w:rFonts w:cs="Arial"/>
                <w:color w:val="000000"/>
                <w:lang w:val="de-DE"/>
              </w:rPr>
            </w:pPr>
            <w:r w:rsidRPr="00EA359E">
              <w:rPr>
                <w:rFonts w:cs="Arial"/>
                <w:color w:val="000000"/>
                <w:lang w:val="de-DE"/>
              </w:rPr>
              <w:t>€ 2.</w:t>
            </w:r>
            <w:r w:rsidR="002461BF">
              <w:rPr>
                <w:rFonts w:cs="Arial"/>
                <w:color w:val="000000"/>
                <w:lang w:val="de-DE"/>
              </w:rPr>
              <w:t>720</w:t>
            </w:r>
          </w:p>
        </w:tc>
      </w:tr>
    </w:tbl>
    <w:p w14:paraId="282B2B01" w14:textId="77777777" w:rsidR="00BD06A8" w:rsidRPr="00EA359E" w:rsidRDefault="00BD06A8" w:rsidP="00DB4078">
      <w:pPr>
        <w:spacing w:line="276" w:lineRule="auto"/>
        <w:ind w:right="141"/>
        <w:jc w:val="both"/>
        <w:rPr>
          <w:rFonts w:cs="Arial"/>
        </w:rPr>
      </w:pPr>
    </w:p>
    <w:p w14:paraId="03908278" w14:textId="5867F4B9" w:rsidR="006D22EC" w:rsidRPr="00EA359E" w:rsidRDefault="006D22EC" w:rsidP="00DB4078">
      <w:pPr>
        <w:spacing w:line="276" w:lineRule="auto"/>
        <w:ind w:right="-1"/>
        <w:jc w:val="both"/>
        <w:rPr>
          <w:rFonts w:cs="Arial"/>
        </w:rPr>
      </w:pPr>
      <w:r w:rsidRPr="00EA359E">
        <w:rPr>
          <w:rFonts w:cs="Arial"/>
        </w:rPr>
        <w:t xml:space="preserve">Zahlt ein Steuerpflichtiger die Krankheitskosten für den </w:t>
      </w:r>
      <w:r w:rsidRPr="00C926A9">
        <w:rPr>
          <w:rFonts w:cs="Arial"/>
        </w:rPr>
        <w:t>erkrankten (Ehe</w:t>
      </w:r>
      <w:r w:rsidR="00C926A9" w:rsidRPr="00C926A9">
        <w:rPr>
          <w:rFonts w:cs="Arial"/>
        </w:rPr>
        <w:t>-</w:t>
      </w:r>
      <w:r w:rsidRPr="00C926A9">
        <w:rPr>
          <w:rFonts w:cs="Arial"/>
        </w:rPr>
        <w:t xml:space="preserve">)Partner, dann </w:t>
      </w:r>
      <w:r w:rsidR="00C0326C" w:rsidRPr="00EA359E">
        <w:rPr>
          <w:rFonts w:cs="Arial"/>
        </w:rPr>
        <w:t xml:space="preserve">können diese Kosten als außergewöhnliche Belastung geltend gemacht werden, insoweit der </w:t>
      </w:r>
      <w:r w:rsidR="00C0326C" w:rsidRPr="00C926A9">
        <w:rPr>
          <w:rFonts w:cs="Arial"/>
        </w:rPr>
        <w:t>erkrankte (Ehe</w:t>
      </w:r>
      <w:r w:rsidR="00C926A9" w:rsidRPr="00C926A9">
        <w:rPr>
          <w:rFonts w:cs="Arial"/>
        </w:rPr>
        <w:t>-</w:t>
      </w:r>
      <w:r w:rsidR="00C0326C" w:rsidRPr="00C926A9">
        <w:rPr>
          <w:rFonts w:cs="Arial"/>
        </w:rPr>
        <w:t>)Partner</w:t>
      </w:r>
      <w:r w:rsidR="00C0326C" w:rsidRPr="00EA359E">
        <w:rPr>
          <w:rFonts w:cs="Arial"/>
        </w:rPr>
        <w:t xml:space="preserve"> das jährliche </w:t>
      </w:r>
      <w:r w:rsidRPr="00EA359E">
        <w:rPr>
          <w:rFonts w:cs="Arial"/>
        </w:rPr>
        <w:t xml:space="preserve">steuerliche Existenzminimum </w:t>
      </w:r>
      <w:r w:rsidR="00C0326C" w:rsidRPr="00133BB5">
        <w:rPr>
          <w:rFonts w:cs="Arial"/>
        </w:rPr>
        <w:t xml:space="preserve">von </w:t>
      </w:r>
      <w:r w:rsidRPr="00133BB5">
        <w:rPr>
          <w:rFonts w:cs="Arial"/>
        </w:rPr>
        <w:t>€ 13.</w:t>
      </w:r>
      <w:r w:rsidR="00956BB7" w:rsidRPr="00133BB5">
        <w:rPr>
          <w:rFonts w:cs="Arial"/>
        </w:rPr>
        <w:t>539</w:t>
      </w:r>
      <w:r w:rsidR="00C0326C" w:rsidRPr="00133BB5">
        <w:rPr>
          <w:rFonts w:cs="Arial"/>
        </w:rPr>
        <w:t xml:space="preserve"> unterschreitet</w:t>
      </w:r>
      <w:r w:rsidR="00C0326C" w:rsidRPr="00EA359E">
        <w:rPr>
          <w:rFonts w:cs="Arial"/>
        </w:rPr>
        <w:t>.</w:t>
      </w:r>
    </w:p>
    <w:p w14:paraId="7C3D02FF" w14:textId="77777777" w:rsidR="005B04CC" w:rsidRPr="00EA359E" w:rsidRDefault="005B04CC" w:rsidP="00B71DD0">
      <w:pPr>
        <w:spacing w:line="276" w:lineRule="auto"/>
        <w:ind w:right="141"/>
        <w:jc w:val="both"/>
        <w:rPr>
          <w:rFonts w:cs="Arial"/>
        </w:rPr>
      </w:pPr>
    </w:p>
    <w:p w14:paraId="3FBEA748" w14:textId="77777777" w:rsidR="006B0060" w:rsidRPr="004F1361" w:rsidRDefault="00270EDD" w:rsidP="00F1173A">
      <w:pPr>
        <w:pStyle w:val="berschrift2"/>
      </w:pPr>
      <w:r w:rsidRPr="004F1361">
        <w:t>Sachbezug</w:t>
      </w:r>
      <w:r w:rsidR="006B0060" w:rsidRPr="004F1361">
        <w:t>swerte</w:t>
      </w:r>
    </w:p>
    <w:p w14:paraId="0F9617AC" w14:textId="4FE685BB" w:rsidR="00270EDD" w:rsidRPr="007074FE" w:rsidRDefault="00571766" w:rsidP="007074FE">
      <w:pPr>
        <w:pStyle w:val="berschrift2"/>
        <w:numPr>
          <w:ilvl w:val="0"/>
          <w:numId w:val="0"/>
        </w:numPr>
        <w:tabs>
          <w:tab w:val="clear" w:pos="9788"/>
        </w:tabs>
        <w:ind w:left="284"/>
        <w:rPr>
          <w:b w:val="0"/>
          <w:bCs/>
        </w:rPr>
      </w:pPr>
      <w:r w:rsidRPr="007074FE">
        <w:rPr>
          <w:b w:val="0"/>
          <w:bCs/>
        </w:rPr>
        <w:t xml:space="preserve">Für die </w:t>
      </w:r>
      <w:r w:rsidRPr="00C02585">
        <w:t>Privatnutzung ein</w:t>
      </w:r>
      <w:r w:rsidR="00143280" w:rsidRPr="00C02585">
        <w:t>e</w:t>
      </w:r>
      <w:r w:rsidRPr="00C02585">
        <w:t>s Firmen</w:t>
      </w:r>
      <w:r w:rsidR="00143280" w:rsidRPr="00C02585">
        <w:t>-</w:t>
      </w:r>
      <w:r w:rsidRPr="00C02585">
        <w:t>PKW</w:t>
      </w:r>
      <w:r w:rsidRPr="007074FE">
        <w:rPr>
          <w:b w:val="0"/>
          <w:bCs/>
        </w:rPr>
        <w:t xml:space="preserve"> </w:t>
      </w:r>
      <w:r w:rsidR="00143280" w:rsidRPr="007074FE">
        <w:rPr>
          <w:b w:val="0"/>
          <w:bCs/>
        </w:rPr>
        <w:t xml:space="preserve">sind </w:t>
      </w:r>
      <w:r w:rsidR="00270EDD" w:rsidRPr="007074FE">
        <w:rPr>
          <w:b w:val="0"/>
          <w:bCs/>
        </w:rPr>
        <w:t>bei Erstzulassung i</w:t>
      </w:r>
      <w:r w:rsidR="003E092A">
        <w:rPr>
          <w:b w:val="0"/>
          <w:bCs/>
        </w:rPr>
        <w:t>m Jahr</w:t>
      </w:r>
      <w:r w:rsidR="00270EDD" w:rsidRPr="007074FE">
        <w:rPr>
          <w:b w:val="0"/>
          <w:bCs/>
        </w:rPr>
        <w:t xml:space="preserve"> 202</w:t>
      </w:r>
      <w:r w:rsidR="004544E3" w:rsidRPr="007074FE">
        <w:rPr>
          <w:b w:val="0"/>
          <w:bCs/>
        </w:rPr>
        <w:t>6</w:t>
      </w:r>
      <w:r w:rsidR="00270EDD" w:rsidRPr="007074FE">
        <w:rPr>
          <w:b w:val="0"/>
          <w:bCs/>
        </w:rPr>
        <w:t xml:space="preserve"> folgende Sachbezugswerte </w:t>
      </w:r>
      <w:r w:rsidR="00143280" w:rsidRPr="007074FE">
        <w:rPr>
          <w:b w:val="0"/>
          <w:bCs/>
        </w:rPr>
        <w:t>anzusetzen:</w:t>
      </w:r>
    </w:p>
    <w:tbl>
      <w:tblPr>
        <w:tblStyle w:val="Tabellenraster"/>
        <w:tblW w:w="9214" w:type="dxa"/>
        <w:tblInd w:w="279" w:type="dxa"/>
        <w:shd w:val="clear" w:color="auto" w:fill="FABF8F" w:themeFill="accent6" w:themeFillTint="99"/>
        <w:tblLayout w:type="fixed"/>
        <w:tblLook w:val="04A0" w:firstRow="1" w:lastRow="0" w:firstColumn="1" w:lastColumn="0" w:noHBand="0" w:noVBand="1"/>
      </w:tblPr>
      <w:tblGrid>
        <w:gridCol w:w="1276"/>
        <w:gridCol w:w="3827"/>
        <w:gridCol w:w="283"/>
        <w:gridCol w:w="2552"/>
        <w:gridCol w:w="13"/>
        <w:gridCol w:w="1263"/>
      </w:tblGrid>
      <w:tr w:rsidR="00DB4078" w:rsidRPr="00B02C4A" w14:paraId="48FDF7CC" w14:textId="77777777" w:rsidTr="004419A0">
        <w:trPr>
          <w:trHeight w:val="470"/>
        </w:trPr>
        <w:tc>
          <w:tcPr>
            <w:tcW w:w="1276" w:type="dxa"/>
            <w:shd w:val="clear" w:color="auto" w:fill="B8CCE4" w:themeFill="accent1" w:themeFillTint="66"/>
            <w:vAlign w:val="center"/>
          </w:tcPr>
          <w:p w14:paraId="3F99A43D" w14:textId="77777777" w:rsidR="00DB4078" w:rsidRPr="003F0FCB" w:rsidRDefault="00DB4078" w:rsidP="00DB4078">
            <w:pPr>
              <w:jc w:val="both"/>
              <w:rPr>
                <w:b/>
              </w:rPr>
            </w:pPr>
            <w:r w:rsidRPr="003F0FCB">
              <w:rPr>
                <w:b/>
              </w:rPr>
              <w:t>Sachbezug</w:t>
            </w:r>
          </w:p>
        </w:tc>
        <w:tc>
          <w:tcPr>
            <w:tcW w:w="3827" w:type="dxa"/>
            <w:shd w:val="clear" w:color="auto" w:fill="B8CCE4" w:themeFill="accent1" w:themeFillTint="66"/>
            <w:vAlign w:val="center"/>
          </w:tcPr>
          <w:p w14:paraId="043E98AC" w14:textId="77777777" w:rsidR="00DB4078" w:rsidRPr="003F0FCB" w:rsidRDefault="00DB4078" w:rsidP="00C94538">
            <w:pPr>
              <w:ind w:right="141"/>
              <w:jc w:val="both"/>
              <w:rPr>
                <w:b/>
              </w:rPr>
            </w:pPr>
            <w:r w:rsidRPr="003F0FCB">
              <w:rPr>
                <w:b/>
              </w:rPr>
              <w:t>Fahrzeugtyp</w:t>
            </w:r>
          </w:p>
        </w:tc>
        <w:tc>
          <w:tcPr>
            <w:tcW w:w="2848" w:type="dxa"/>
            <w:gridSpan w:val="3"/>
            <w:shd w:val="clear" w:color="auto" w:fill="B8CCE4" w:themeFill="accent1" w:themeFillTint="66"/>
            <w:vAlign w:val="center"/>
          </w:tcPr>
          <w:p w14:paraId="7073B029" w14:textId="77777777" w:rsidR="00DB4078" w:rsidRPr="003F0FCB" w:rsidRDefault="00DB4078" w:rsidP="00C94538">
            <w:pPr>
              <w:ind w:right="141"/>
              <w:jc w:val="both"/>
              <w:rPr>
                <w:b/>
              </w:rPr>
            </w:pPr>
            <w:r w:rsidRPr="003F0FCB">
              <w:rPr>
                <w:b/>
              </w:rPr>
              <w:t>CO</w:t>
            </w:r>
            <w:r w:rsidRPr="003F0FCB">
              <w:rPr>
                <w:b/>
                <w:vertAlign w:val="subscript"/>
              </w:rPr>
              <w:t>2</w:t>
            </w:r>
            <w:r w:rsidRPr="003F0FCB">
              <w:rPr>
                <w:b/>
              </w:rPr>
              <w:t>-Wert im Zeitpunkt der Erstzulassung nach WLTP</w:t>
            </w:r>
          </w:p>
        </w:tc>
        <w:tc>
          <w:tcPr>
            <w:tcW w:w="1263" w:type="dxa"/>
            <w:shd w:val="clear" w:color="auto" w:fill="B8CCE4" w:themeFill="accent1" w:themeFillTint="66"/>
            <w:vAlign w:val="center"/>
          </w:tcPr>
          <w:p w14:paraId="2139FF25" w14:textId="1432CA76" w:rsidR="00DB4078" w:rsidRPr="003F0FCB" w:rsidRDefault="0020557A" w:rsidP="00C94538">
            <w:pPr>
              <w:ind w:right="141"/>
              <w:jc w:val="center"/>
              <w:rPr>
                <w:b/>
              </w:rPr>
            </w:pPr>
            <w:r>
              <w:rPr>
                <w:b/>
              </w:rPr>
              <w:t>ma</w:t>
            </w:r>
            <w:r w:rsidR="00DB4078" w:rsidRPr="003F0FCB">
              <w:rPr>
                <w:b/>
              </w:rPr>
              <w:t>x</w:t>
            </w:r>
            <w:r>
              <w:rPr>
                <w:b/>
              </w:rPr>
              <w:t>.</w:t>
            </w:r>
            <w:r w:rsidR="00DB4078" w:rsidRPr="003F0FCB">
              <w:rPr>
                <w:b/>
              </w:rPr>
              <w:t xml:space="preserve"> p</w:t>
            </w:r>
            <w:r w:rsidR="00115A93">
              <w:rPr>
                <w:b/>
              </w:rPr>
              <w:t>.</w:t>
            </w:r>
            <w:r w:rsidR="00DB4078" w:rsidRPr="003F0FCB">
              <w:rPr>
                <w:b/>
              </w:rPr>
              <w:t>m</w:t>
            </w:r>
            <w:r>
              <w:rPr>
                <w:b/>
              </w:rPr>
              <w:t>.</w:t>
            </w:r>
          </w:p>
        </w:tc>
      </w:tr>
      <w:tr w:rsidR="00DB4078" w:rsidRPr="00B02C4A" w14:paraId="1E61AD98" w14:textId="77777777" w:rsidTr="00C65B9B">
        <w:trPr>
          <w:trHeight w:val="231"/>
        </w:trPr>
        <w:tc>
          <w:tcPr>
            <w:tcW w:w="1276" w:type="dxa"/>
            <w:shd w:val="clear" w:color="auto" w:fill="auto"/>
            <w:vAlign w:val="center"/>
          </w:tcPr>
          <w:p w14:paraId="52182047" w14:textId="5CA040ED" w:rsidR="00DB4078" w:rsidRPr="003F0FCB" w:rsidRDefault="00DB4078" w:rsidP="005C746E">
            <w:pPr>
              <w:ind w:right="179"/>
              <w:jc w:val="right"/>
              <w:rPr>
                <w:b/>
              </w:rPr>
            </w:pPr>
            <w:r w:rsidRPr="003F0FCB">
              <w:rPr>
                <w:b/>
              </w:rPr>
              <w:t>2</w:t>
            </w:r>
            <w:r w:rsidR="005C746E">
              <w:rPr>
                <w:b/>
              </w:rPr>
              <w:t xml:space="preserve"> </w:t>
            </w:r>
            <w:r w:rsidRPr="003F0FCB">
              <w:rPr>
                <w:b/>
              </w:rPr>
              <w:t>%</w:t>
            </w:r>
          </w:p>
        </w:tc>
        <w:tc>
          <w:tcPr>
            <w:tcW w:w="3827" w:type="dxa"/>
            <w:shd w:val="clear" w:color="auto" w:fill="auto"/>
            <w:vAlign w:val="center"/>
          </w:tcPr>
          <w:p w14:paraId="029B3577" w14:textId="577275D1" w:rsidR="00DB4078" w:rsidRPr="003F0FCB" w:rsidRDefault="00DB4078" w:rsidP="00C94538">
            <w:pPr>
              <w:ind w:right="141"/>
              <w:jc w:val="both"/>
            </w:pPr>
            <w:r w:rsidRPr="003F0FCB">
              <w:t>PKW und Hybridfahrzeuge</w:t>
            </w:r>
          </w:p>
        </w:tc>
        <w:tc>
          <w:tcPr>
            <w:tcW w:w="283" w:type="dxa"/>
            <w:tcBorders>
              <w:right w:val="nil"/>
            </w:tcBorders>
            <w:shd w:val="clear" w:color="auto" w:fill="auto"/>
            <w:vAlign w:val="center"/>
          </w:tcPr>
          <w:p w14:paraId="175EB867" w14:textId="77777777" w:rsidR="00DB4078" w:rsidRPr="003F0FCB" w:rsidRDefault="00DB4078" w:rsidP="00C94538">
            <w:pPr>
              <w:ind w:right="141"/>
              <w:jc w:val="both"/>
            </w:pPr>
          </w:p>
        </w:tc>
        <w:tc>
          <w:tcPr>
            <w:tcW w:w="2552" w:type="dxa"/>
            <w:tcBorders>
              <w:left w:val="nil"/>
            </w:tcBorders>
            <w:shd w:val="clear" w:color="auto" w:fill="auto"/>
            <w:vAlign w:val="center"/>
          </w:tcPr>
          <w:p w14:paraId="27D4F44E" w14:textId="31923F24" w:rsidR="00DB4078" w:rsidRPr="00796A01" w:rsidRDefault="00796A01" w:rsidP="00C94538">
            <w:pPr>
              <w:ind w:right="141"/>
              <w:jc w:val="both"/>
              <w:rPr>
                <w:bCs/>
              </w:rPr>
            </w:pPr>
            <w:r w:rsidRPr="00796A01">
              <w:rPr>
                <w:bCs/>
              </w:rPr>
              <w:t xml:space="preserve">ab </w:t>
            </w:r>
            <w:r w:rsidR="00DB4078" w:rsidRPr="00796A01">
              <w:rPr>
                <w:bCs/>
              </w:rPr>
              <w:t>2025: über 126 g/km</w:t>
            </w:r>
          </w:p>
        </w:tc>
        <w:tc>
          <w:tcPr>
            <w:tcW w:w="1276" w:type="dxa"/>
            <w:gridSpan w:val="2"/>
            <w:shd w:val="clear" w:color="auto" w:fill="auto"/>
            <w:vAlign w:val="center"/>
          </w:tcPr>
          <w:p w14:paraId="2FAD1740" w14:textId="77777777" w:rsidR="00DB4078" w:rsidRPr="003F0FCB" w:rsidRDefault="00DB4078" w:rsidP="00C94538">
            <w:pPr>
              <w:ind w:right="141"/>
              <w:jc w:val="right"/>
              <w:rPr>
                <w:bCs/>
              </w:rPr>
            </w:pPr>
            <w:r w:rsidRPr="003F0FCB">
              <w:rPr>
                <w:bCs/>
              </w:rPr>
              <w:t>€ 960</w:t>
            </w:r>
          </w:p>
        </w:tc>
      </w:tr>
      <w:tr w:rsidR="00DB4078" w:rsidRPr="00B02C4A" w14:paraId="472827B4" w14:textId="77777777" w:rsidTr="004419A0">
        <w:trPr>
          <w:trHeight w:val="293"/>
        </w:trPr>
        <w:tc>
          <w:tcPr>
            <w:tcW w:w="1276" w:type="dxa"/>
            <w:shd w:val="clear" w:color="auto" w:fill="DBE5F1" w:themeFill="accent1" w:themeFillTint="33"/>
            <w:vAlign w:val="center"/>
          </w:tcPr>
          <w:p w14:paraId="244D74AA" w14:textId="0AE7BC49" w:rsidR="00DB4078" w:rsidRPr="003F0FCB" w:rsidRDefault="0020557A" w:rsidP="005C746E">
            <w:pPr>
              <w:ind w:right="179"/>
              <w:jc w:val="right"/>
              <w:rPr>
                <w:b/>
              </w:rPr>
            </w:pPr>
            <w:r>
              <w:rPr>
                <w:b/>
              </w:rPr>
              <w:t xml:space="preserve">   </w:t>
            </w:r>
            <w:r w:rsidR="00DB4078" w:rsidRPr="003F0FCB">
              <w:rPr>
                <w:b/>
              </w:rPr>
              <w:t>1,5</w:t>
            </w:r>
            <w:r w:rsidR="005C746E">
              <w:rPr>
                <w:b/>
              </w:rPr>
              <w:t xml:space="preserve"> </w:t>
            </w:r>
            <w:r w:rsidR="00DB4078" w:rsidRPr="003F0FCB">
              <w:rPr>
                <w:b/>
              </w:rPr>
              <w:t>%</w:t>
            </w:r>
          </w:p>
        </w:tc>
        <w:tc>
          <w:tcPr>
            <w:tcW w:w="3827" w:type="dxa"/>
            <w:shd w:val="clear" w:color="auto" w:fill="DBE5F1" w:themeFill="accent1" w:themeFillTint="33"/>
            <w:vAlign w:val="center"/>
          </w:tcPr>
          <w:p w14:paraId="4A816C6F" w14:textId="77777777" w:rsidR="00DB4078" w:rsidRPr="003F0FCB" w:rsidRDefault="00DB4078" w:rsidP="00C94538">
            <w:pPr>
              <w:ind w:right="141"/>
              <w:jc w:val="both"/>
              <w:rPr>
                <w:highlight w:val="yellow"/>
              </w:rPr>
            </w:pPr>
            <w:r w:rsidRPr="003F0FCB">
              <w:t>ökologische PKW und Hybridfahrzeuge</w:t>
            </w:r>
          </w:p>
        </w:tc>
        <w:tc>
          <w:tcPr>
            <w:tcW w:w="283" w:type="dxa"/>
            <w:tcBorders>
              <w:right w:val="nil"/>
            </w:tcBorders>
            <w:shd w:val="clear" w:color="auto" w:fill="DBE5F1" w:themeFill="accent1" w:themeFillTint="33"/>
            <w:vAlign w:val="center"/>
          </w:tcPr>
          <w:p w14:paraId="6229AD86" w14:textId="77777777" w:rsidR="00DB4078" w:rsidRPr="003F0FCB" w:rsidRDefault="00DB4078" w:rsidP="00C94538">
            <w:pPr>
              <w:ind w:right="141"/>
              <w:jc w:val="both"/>
              <w:rPr>
                <w:b/>
              </w:rPr>
            </w:pPr>
          </w:p>
        </w:tc>
        <w:tc>
          <w:tcPr>
            <w:tcW w:w="2552" w:type="dxa"/>
            <w:tcBorders>
              <w:left w:val="nil"/>
            </w:tcBorders>
            <w:shd w:val="clear" w:color="auto" w:fill="DBE5F1" w:themeFill="accent1" w:themeFillTint="33"/>
            <w:vAlign w:val="center"/>
          </w:tcPr>
          <w:p w14:paraId="73F2C74B" w14:textId="12DEEBEB" w:rsidR="00DB4078" w:rsidRPr="00796A01" w:rsidRDefault="00796A01" w:rsidP="00C94538">
            <w:pPr>
              <w:ind w:right="141"/>
              <w:jc w:val="both"/>
              <w:rPr>
                <w:bCs/>
              </w:rPr>
            </w:pPr>
            <w:r w:rsidRPr="00796A01">
              <w:rPr>
                <w:bCs/>
              </w:rPr>
              <w:t xml:space="preserve"> ab </w:t>
            </w:r>
            <w:r w:rsidR="00DB4078" w:rsidRPr="00796A01">
              <w:rPr>
                <w:bCs/>
              </w:rPr>
              <w:t>2025: bis 126 g/km</w:t>
            </w:r>
          </w:p>
        </w:tc>
        <w:tc>
          <w:tcPr>
            <w:tcW w:w="1276" w:type="dxa"/>
            <w:gridSpan w:val="2"/>
            <w:shd w:val="clear" w:color="auto" w:fill="DBE5F1" w:themeFill="accent1" w:themeFillTint="33"/>
            <w:vAlign w:val="center"/>
          </w:tcPr>
          <w:p w14:paraId="43D46B60" w14:textId="77777777" w:rsidR="00DB4078" w:rsidRPr="003F0FCB" w:rsidRDefault="00DB4078" w:rsidP="00C94538">
            <w:pPr>
              <w:ind w:right="141"/>
              <w:jc w:val="right"/>
            </w:pPr>
            <w:r w:rsidRPr="003F0FCB">
              <w:t>€</w:t>
            </w:r>
            <w:r w:rsidRPr="003F0FCB">
              <w:rPr>
                <w:b/>
              </w:rPr>
              <w:t xml:space="preserve"> </w:t>
            </w:r>
            <w:r w:rsidRPr="003F0FCB">
              <w:t>720</w:t>
            </w:r>
          </w:p>
        </w:tc>
      </w:tr>
      <w:tr w:rsidR="00DB4078" w:rsidRPr="00B02C4A" w14:paraId="5C4D85FA" w14:textId="77777777" w:rsidTr="004419A0">
        <w:trPr>
          <w:trHeight w:val="283"/>
        </w:trPr>
        <w:tc>
          <w:tcPr>
            <w:tcW w:w="1276" w:type="dxa"/>
            <w:shd w:val="clear" w:color="auto" w:fill="B8CCE4" w:themeFill="accent1" w:themeFillTint="66"/>
            <w:vAlign w:val="center"/>
          </w:tcPr>
          <w:p w14:paraId="6A87F875" w14:textId="772EFD7B" w:rsidR="00DB4078" w:rsidRPr="003F0FCB" w:rsidRDefault="00DB4078" w:rsidP="005C746E">
            <w:pPr>
              <w:ind w:right="179"/>
              <w:jc w:val="right"/>
              <w:rPr>
                <w:b/>
              </w:rPr>
            </w:pPr>
            <w:r w:rsidRPr="003F0FCB">
              <w:rPr>
                <w:b/>
              </w:rPr>
              <w:t>0</w:t>
            </w:r>
            <w:r w:rsidR="005C746E">
              <w:rPr>
                <w:b/>
              </w:rPr>
              <w:t xml:space="preserve"> </w:t>
            </w:r>
            <w:r w:rsidRPr="003F0FCB">
              <w:rPr>
                <w:b/>
              </w:rPr>
              <w:t>%</w:t>
            </w:r>
          </w:p>
        </w:tc>
        <w:tc>
          <w:tcPr>
            <w:tcW w:w="3827" w:type="dxa"/>
            <w:shd w:val="clear" w:color="auto" w:fill="B8CCE4" w:themeFill="accent1" w:themeFillTint="66"/>
            <w:vAlign w:val="center"/>
          </w:tcPr>
          <w:p w14:paraId="7D53990F" w14:textId="77777777" w:rsidR="00DB4078" w:rsidRPr="003F0FCB" w:rsidRDefault="00DB4078" w:rsidP="00C94538">
            <w:pPr>
              <w:ind w:right="141"/>
              <w:jc w:val="both"/>
              <w:rPr>
                <w:b/>
                <w:bCs/>
              </w:rPr>
            </w:pPr>
            <w:r w:rsidRPr="003F0FCB">
              <w:rPr>
                <w:b/>
                <w:bCs/>
              </w:rPr>
              <w:t>Elektroautos</w:t>
            </w:r>
          </w:p>
        </w:tc>
        <w:tc>
          <w:tcPr>
            <w:tcW w:w="283" w:type="dxa"/>
            <w:tcBorders>
              <w:right w:val="nil"/>
            </w:tcBorders>
            <w:shd w:val="clear" w:color="auto" w:fill="B8CCE4" w:themeFill="accent1" w:themeFillTint="66"/>
            <w:vAlign w:val="center"/>
          </w:tcPr>
          <w:p w14:paraId="0B23DE9F" w14:textId="77777777" w:rsidR="00DB4078" w:rsidRPr="003F0FCB" w:rsidRDefault="00DB4078" w:rsidP="00C94538">
            <w:pPr>
              <w:ind w:right="141"/>
              <w:jc w:val="both"/>
            </w:pPr>
          </w:p>
        </w:tc>
        <w:tc>
          <w:tcPr>
            <w:tcW w:w="2552" w:type="dxa"/>
            <w:tcBorders>
              <w:left w:val="nil"/>
            </w:tcBorders>
            <w:shd w:val="clear" w:color="auto" w:fill="B8CCE4" w:themeFill="accent1" w:themeFillTint="66"/>
            <w:vAlign w:val="center"/>
          </w:tcPr>
          <w:p w14:paraId="7A202B23" w14:textId="77777777" w:rsidR="00DB4078" w:rsidRPr="007D11EC" w:rsidRDefault="00DB4078" w:rsidP="00C94538">
            <w:pPr>
              <w:ind w:right="141"/>
              <w:jc w:val="both"/>
            </w:pPr>
            <w:r w:rsidRPr="007D11EC">
              <w:t>0 g/km</w:t>
            </w:r>
          </w:p>
        </w:tc>
        <w:tc>
          <w:tcPr>
            <w:tcW w:w="1276" w:type="dxa"/>
            <w:gridSpan w:val="2"/>
            <w:shd w:val="clear" w:color="auto" w:fill="B8CCE4" w:themeFill="accent1" w:themeFillTint="66"/>
            <w:vAlign w:val="center"/>
          </w:tcPr>
          <w:p w14:paraId="3F23D274" w14:textId="77777777" w:rsidR="00DB4078" w:rsidRPr="003F0FCB" w:rsidRDefault="00DB4078" w:rsidP="00C94538">
            <w:pPr>
              <w:ind w:right="141"/>
              <w:jc w:val="right"/>
              <w:rPr>
                <w:b/>
                <w:bCs/>
              </w:rPr>
            </w:pPr>
            <w:r w:rsidRPr="003F0FCB">
              <w:rPr>
                <w:b/>
                <w:bCs/>
              </w:rPr>
              <w:t>€ 0</w:t>
            </w:r>
          </w:p>
        </w:tc>
      </w:tr>
      <w:tr w:rsidR="00DB4078" w:rsidRPr="00B02C4A" w14:paraId="4BA80DE8" w14:textId="77777777" w:rsidTr="004419A0">
        <w:trPr>
          <w:trHeight w:val="259"/>
        </w:trPr>
        <w:tc>
          <w:tcPr>
            <w:tcW w:w="1276" w:type="dxa"/>
            <w:shd w:val="clear" w:color="auto" w:fill="B8CCE4" w:themeFill="accent1" w:themeFillTint="66"/>
            <w:vAlign w:val="center"/>
          </w:tcPr>
          <w:p w14:paraId="2519BFDB" w14:textId="60BF4407" w:rsidR="00DB4078" w:rsidRPr="003F0FCB" w:rsidRDefault="00DB4078" w:rsidP="005C746E">
            <w:pPr>
              <w:spacing w:line="276" w:lineRule="auto"/>
              <w:ind w:right="179"/>
              <w:jc w:val="right"/>
              <w:rPr>
                <w:b/>
              </w:rPr>
            </w:pPr>
            <w:r w:rsidRPr="003F0FCB">
              <w:rPr>
                <w:b/>
              </w:rPr>
              <w:t>0</w:t>
            </w:r>
            <w:r w:rsidR="005C746E">
              <w:rPr>
                <w:b/>
              </w:rPr>
              <w:t xml:space="preserve"> </w:t>
            </w:r>
            <w:r w:rsidRPr="003F0FCB">
              <w:rPr>
                <w:b/>
              </w:rPr>
              <w:t>%</w:t>
            </w:r>
          </w:p>
        </w:tc>
        <w:tc>
          <w:tcPr>
            <w:tcW w:w="3827" w:type="dxa"/>
            <w:shd w:val="clear" w:color="auto" w:fill="B8CCE4" w:themeFill="accent1" w:themeFillTint="66"/>
            <w:vAlign w:val="center"/>
          </w:tcPr>
          <w:p w14:paraId="67E20DF2" w14:textId="77777777" w:rsidR="00DB4078" w:rsidRPr="003F0FCB" w:rsidRDefault="00DB4078" w:rsidP="00C94538">
            <w:pPr>
              <w:spacing w:line="276" w:lineRule="auto"/>
              <w:ind w:right="141"/>
              <w:jc w:val="both"/>
              <w:rPr>
                <w:b/>
                <w:bCs/>
              </w:rPr>
            </w:pPr>
            <w:r w:rsidRPr="003F0FCB">
              <w:rPr>
                <w:b/>
                <w:bCs/>
              </w:rPr>
              <w:t>Fahrräder /</w:t>
            </w:r>
            <w:r>
              <w:rPr>
                <w:b/>
                <w:bCs/>
              </w:rPr>
              <w:t>E-</w:t>
            </w:r>
            <w:r w:rsidRPr="003F0FCB">
              <w:rPr>
                <w:b/>
                <w:bCs/>
              </w:rPr>
              <w:t>Krafträder</w:t>
            </w:r>
          </w:p>
        </w:tc>
        <w:tc>
          <w:tcPr>
            <w:tcW w:w="283" w:type="dxa"/>
            <w:tcBorders>
              <w:right w:val="nil"/>
            </w:tcBorders>
            <w:shd w:val="clear" w:color="auto" w:fill="B8CCE4" w:themeFill="accent1" w:themeFillTint="66"/>
            <w:vAlign w:val="center"/>
          </w:tcPr>
          <w:p w14:paraId="663DF180" w14:textId="77777777" w:rsidR="00DB4078" w:rsidRPr="003F0FCB" w:rsidRDefault="00DB4078" w:rsidP="00C94538">
            <w:pPr>
              <w:spacing w:line="276" w:lineRule="auto"/>
              <w:ind w:right="141"/>
              <w:jc w:val="both"/>
            </w:pPr>
          </w:p>
        </w:tc>
        <w:tc>
          <w:tcPr>
            <w:tcW w:w="2552" w:type="dxa"/>
            <w:tcBorders>
              <w:left w:val="nil"/>
            </w:tcBorders>
            <w:shd w:val="clear" w:color="auto" w:fill="B8CCE4" w:themeFill="accent1" w:themeFillTint="66"/>
            <w:vAlign w:val="center"/>
          </w:tcPr>
          <w:p w14:paraId="7166AD9D" w14:textId="77777777" w:rsidR="00DB4078" w:rsidRPr="007D11EC" w:rsidRDefault="00DB4078" w:rsidP="00C94538">
            <w:pPr>
              <w:spacing w:line="276" w:lineRule="auto"/>
              <w:ind w:right="141"/>
              <w:jc w:val="both"/>
            </w:pPr>
            <w:r w:rsidRPr="007D11EC">
              <w:t>0 g/km</w:t>
            </w:r>
          </w:p>
        </w:tc>
        <w:tc>
          <w:tcPr>
            <w:tcW w:w="1276" w:type="dxa"/>
            <w:gridSpan w:val="2"/>
            <w:shd w:val="clear" w:color="auto" w:fill="B8CCE4" w:themeFill="accent1" w:themeFillTint="66"/>
            <w:vAlign w:val="center"/>
          </w:tcPr>
          <w:p w14:paraId="0B1F5261" w14:textId="77777777" w:rsidR="00DB4078" w:rsidRPr="003F0FCB" w:rsidRDefault="00DB4078" w:rsidP="00C94538">
            <w:pPr>
              <w:spacing w:line="276" w:lineRule="auto"/>
              <w:ind w:right="141"/>
              <w:jc w:val="right"/>
              <w:rPr>
                <w:b/>
                <w:bCs/>
              </w:rPr>
            </w:pPr>
            <w:r w:rsidRPr="003F0FCB">
              <w:rPr>
                <w:b/>
                <w:bCs/>
              </w:rPr>
              <w:t>€ 0</w:t>
            </w:r>
          </w:p>
        </w:tc>
      </w:tr>
    </w:tbl>
    <w:p w14:paraId="31700A20" w14:textId="0942CF33" w:rsidR="00CD79F1" w:rsidRPr="00EA359E" w:rsidRDefault="00143280" w:rsidP="00DB4078">
      <w:pPr>
        <w:spacing w:line="276" w:lineRule="auto"/>
        <w:ind w:left="284" w:right="-1"/>
        <w:jc w:val="both"/>
        <w:rPr>
          <w:rFonts w:cs="Arial"/>
        </w:rPr>
      </w:pPr>
      <w:r w:rsidRPr="00EA359E">
        <w:rPr>
          <w:rFonts w:cs="Arial"/>
        </w:rPr>
        <w:t>Die Privatnutzung eines Dienstfahrzeuges</w:t>
      </w:r>
      <w:r w:rsidR="0046550F">
        <w:rPr>
          <w:rFonts w:cs="Arial"/>
          <w:color w:val="C00000"/>
        </w:rPr>
        <w:t xml:space="preserve"> </w:t>
      </w:r>
      <w:r w:rsidR="00262D3C" w:rsidRPr="00EA359E">
        <w:rPr>
          <w:rFonts w:cs="Arial"/>
        </w:rPr>
        <w:t xml:space="preserve">(ausgenommen </w:t>
      </w:r>
      <w:r w:rsidR="00DD2FDF">
        <w:rPr>
          <w:rFonts w:cs="Arial"/>
        </w:rPr>
        <w:t xml:space="preserve">E-Bike oder </w:t>
      </w:r>
      <w:r w:rsidR="00262D3C" w:rsidRPr="00EA359E">
        <w:rPr>
          <w:rFonts w:cs="Arial"/>
        </w:rPr>
        <w:t xml:space="preserve">Fahrrad) </w:t>
      </w:r>
      <w:r w:rsidRPr="00EA359E">
        <w:rPr>
          <w:rFonts w:cs="Arial"/>
        </w:rPr>
        <w:t xml:space="preserve">schließt </w:t>
      </w:r>
      <w:r w:rsidRPr="00C926A9">
        <w:rPr>
          <w:rFonts w:cs="Arial"/>
        </w:rPr>
        <w:t>ein</w:t>
      </w:r>
      <w:r w:rsidR="00EE0B2C" w:rsidRPr="00C926A9">
        <w:rPr>
          <w:rFonts w:cs="Arial"/>
        </w:rPr>
        <w:t xml:space="preserve"> </w:t>
      </w:r>
      <w:r w:rsidRPr="00EA359E">
        <w:rPr>
          <w:rFonts w:cs="Arial"/>
          <w:b/>
          <w:bCs/>
        </w:rPr>
        <w:t>Pendlerpauschale</w:t>
      </w:r>
      <w:r w:rsidRPr="00EA359E">
        <w:rPr>
          <w:rFonts w:cs="Arial"/>
        </w:rPr>
        <w:t xml:space="preserve"> aus, selbst dann, wenn Kostenbeiträge geleistet werden. </w:t>
      </w:r>
    </w:p>
    <w:p w14:paraId="4AFF5DDD" w14:textId="77777777" w:rsidR="00CD79F1" w:rsidRPr="00EA359E" w:rsidRDefault="00CD79F1" w:rsidP="001D6520">
      <w:pPr>
        <w:spacing w:line="276" w:lineRule="auto"/>
        <w:ind w:left="284" w:right="-1"/>
        <w:jc w:val="both"/>
        <w:rPr>
          <w:rFonts w:cs="Arial"/>
        </w:rPr>
      </w:pPr>
    </w:p>
    <w:p w14:paraId="1475B680" w14:textId="139E0D47" w:rsidR="00270EDD" w:rsidRPr="00133BB5" w:rsidRDefault="00270EDD" w:rsidP="003B1561">
      <w:pPr>
        <w:pStyle w:val="AuzhlungenKlifo"/>
      </w:pPr>
      <w:r w:rsidRPr="003B1561">
        <w:t>Firmenparkplatz</w:t>
      </w:r>
    </w:p>
    <w:p w14:paraId="3EA9715F" w14:textId="1E1116CC" w:rsidR="00A012E4" w:rsidRPr="00EA359E" w:rsidRDefault="00270EDD" w:rsidP="001D6520">
      <w:pPr>
        <w:pStyle w:val="Listenabsatz"/>
        <w:spacing w:line="276" w:lineRule="auto"/>
        <w:ind w:left="284" w:right="-1"/>
        <w:jc w:val="both"/>
        <w:rPr>
          <w:rFonts w:cs="Arial"/>
        </w:rPr>
      </w:pPr>
      <w:r w:rsidRPr="00EA359E">
        <w:rPr>
          <w:rFonts w:cs="Arial"/>
        </w:rPr>
        <w:t>Für die Zurverfügungstellung eines Parkplatzes</w:t>
      </w:r>
      <w:r w:rsidR="0046550F">
        <w:rPr>
          <w:rFonts w:cs="Arial"/>
          <w:color w:val="C00000"/>
        </w:rPr>
        <w:t xml:space="preserve"> </w:t>
      </w:r>
      <w:r w:rsidRPr="00EA359E">
        <w:rPr>
          <w:rFonts w:cs="Arial"/>
        </w:rPr>
        <w:t xml:space="preserve">in einer parkraumbewirtschafteten Zone ist für alle Fahrzeuge </w:t>
      </w:r>
      <w:r w:rsidR="00CD79F1" w:rsidRPr="00EA359E">
        <w:rPr>
          <w:rFonts w:cs="Arial"/>
          <w:b/>
          <w:bCs/>
        </w:rPr>
        <w:t>unverändert</w:t>
      </w:r>
      <w:r w:rsidR="00CD79F1" w:rsidRPr="00EA359E">
        <w:rPr>
          <w:rFonts w:cs="Arial"/>
        </w:rPr>
        <w:t xml:space="preserve"> </w:t>
      </w:r>
      <w:r w:rsidRPr="00EA359E">
        <w:rPr>
          <w:rFonts w:cs="Arial"/>
        </w:rPr>
        <w:t xml:space="preserve">ein </w:t>
      </w:r>
      <w:r w:rsidRPr="00EA359E">
        <w:rPr>
          <w:rFonts w:cs="Arial"/>
          <w:b/>
          <w:bCs/>
        </w:rPr>
        <w:t>Sachbezug von monatlich €</w:t>
      </w:r>
      <w:r w:rsidR="00956BB7">
        <w:rPr>
          <w:rFonts w:cs="Arial"/>
          <w:b/>
          <w:bCs/>
        </w:rPr>
        <w:t> </w:t>
      </w:r>
      <w:r w:rsidRPr="00EA359E">
        <w:rPr>
          <w:rFonts w:cs="Arial"/>
          <w:b/>
          <w:bCs/>
        </w:rPr>
        <w:t>14,53</w:t>
      </w:r>
      <w:r w:rsidRPr="00EA359E">
        <w:rPr>
          <w:rFonts w:cs="Arial"/>
        </w:rPr>
        <w:t xml:space="preserve"> anzusetzen. Dies gilt auch für E</w:t>
      </w:r>
      <w:r w:rsidR="00A012E4" w:rsidRPr="00EA359E">
        <w:rPr>
          <w:rFonts w:cs="Arial"/>
        </w:rPr>
        <w:t>lektroautos.</w:t>
      </w:r>
    </w:p>
    <w:p w14:paraId="13082CBE" w14:textId="77777777" w:rsidR="00A012E4" w:rsidRPr="00EA359E" w:rsidRDefault="00A012E4" w:rsidP="001D6520">
      <w:pPr>
        <w:pStyle w:val="Listenabsatz"/>
        <w:spacing w:line="276" w:lineRule="auto"/>
        <w:ind w:left="284" w:right="-1"/>
        <w:jc w:val="both"/>
        <w:rPr>
          <w:rFonts w:cs="Arial"/>
        </w:rPr>
      </w:pPr>
    </w:p>
    <w:p w14:paraId="574C1BF8" w14:textId="77777777" w:rsidR="004010B9" w:rsidRPr="00133BB5" w:rsidRDefault="004010B9" w:rsidP="00560995">
      <w:pPr>
        <w:pStyle w:val="AuzhlungenKlifo"/>
      </w:pPr>
      <w:r w:rsidRPr="00133BB5">
        <w:t>Zinsersparnis</w:t>
      </w:r>
    </w:p>
    <w:p w14:paraId="67D3D179" w14:textId="759708FC" w:rsidR="000F213E" w:rsidRDefault="00D10836" w:rsidP="001D6520">
      <w:pPr>
        <w:tabs>
          <w:tab w:val="left" w:pos="284"/>
        </w:tabs>
        <w:spacing w:line="276" w:lineRule="auto"/>
        <w:ind w:left="284" w:right="-1"/>
        <w:jc w:val="both"/>
        <w:rPr>
          <w:rFonts w:cs="Arial"/>
        </w:rPr>
      </w:pPr>
      <w:r>
        <w:rPr>
          <w:rFonts w:cs="Arial"/>
        </w:rPr>
        <w:t xml:space="preserve">Bei der Berechnung des </w:t>
      </w:r>
      <w:r w:rsidR="00956BB7">
        <w:rPr>
          <w:rFonts w:cs="Arial"/>
        </w:rPr>
        <w:t>Sachbezug</w:t>
      </w:r>
      <w:r>
        <w:rPr>
          <w:rFonts w:cs="Arial"/>
        </w:rPr>
        <w:t>s</w:t>
      </w:r>
      <w:r w:rsidR="00956BB7">
        <w:rPr>
          <w:rFonts w:cs="Arial"/>
        </w:rPr>
        <w:t xml:space="preserve"> für die Zinsersparnis bei Arbeitgeberdarlehen und Gehaltsvor</w:t>
      </w:r>
      <w:r>
        <w:rPr>
          <w:rFonts w:cs="Arial"/>
        </w:rPr>
        <w:softHyphen/>
      </w:r>
      <w:r w:rsidR="00956BB7">
        <w:rPr>
          <w:rFonts w:cs="Arial"/>
        </w:rPr>
        <w:t xml:space="preserve">schüssen </w:t>
      </w:r>
      <w:r w:rsidR="004010B9" w:rsidRPr="00EA359E">
        <w:rPr>
          <w:rFonts w:cs="Arial"/>
        </w:rPr>
        <w:t xml:space="preserve">von mehr als € 7.300 </w:t>
      </w:r>
      <w:r w:rsidR="00956BB7">
        <w:rPr>
          <w:rFonts w:cs="Arial"/>
        </w:rPr>
        <w:t>wird unterschieden in variabel verzinste und solche, die mit einem festen Zinssatz gewährt werden.</w:t>
      </w:r>
      <w:r>
        <w:rPr>
          <w:rFonts w:cs="Arial"/>
        </w:rPr>
        <w:t xml:space="preserve"> </w:t>
      </w:r>
      <w:r w:rsidR="000F213E">
        <w:rPr>
          <w:rFonts w:cs="Arial"/>
        </w:rPr>
        <w:t xml:space="preserve">Der </w:t>
      </w:r>
      <w:r w:rsidR="000F213E" w:rsidRPr="000F213E">
        <w:rPr>
          <w:rFonts w:cs="Arial"/>
          <w:b/>
          <w:bCs/>
        </w:rPr>
        <w:t>Referenzzinssatz</w:t>
      </w:r>
      <w:r w:rsidR="000F213E">
        <w:rPr>
          <w:rFonts w:cs="Arial"/>
        </w:rPr>
        <w:t xml:space="preserve"> </w:t>
      </w:r>
      <w:r w:rsidRPr="00D10836">
        <w:rPr>
          <w:rFonts w:cs="Arial"/>
          <w:b/>
          <w:bCs/>
        </w:rPr>
        <w:t>2026</w:t>
      </w:r>
      <w:r>
        <w:rPr>
          <w:rFonts w:cs="Arial"/>
        </w:rPr>
        <w:t xml:space="preserve"> </w:t>
      </w:r>
      <w:r w:rsidR="000F213E">
        <w:rPr>
          <w:rFonts w:cs="Arial"/>
        </w:rPr>
        <w:t xml:space="preserve">für variabel verzinste Arbeitgeberdarlehen und Gehaltsvorschüsse beträgt </w:t>
      </w:r>
      <w:r w:rsidR="000F213E" w:rsidRPr="000F213E">
        <w:rPr>
          <w:rFonts w:cs="Arial"/>
          <w:b/>
          <w:bCs/>
        </w:rPr>
        <w:t>3 %</w:t>
      </w:r>
      <w:r w:rsidR="000F213E">
        <w:rPr>
          <w:rFonts w:cs="Arial"/>
        </w:rPr>
        <w:t>.</w:t>
      </w:r>
    </w:p>
    <w:p w14:paraId="1DD9EC56" w14:textId="2724535F" w:rsidR="004010B9" w:rsidRPr="00EA359E" w:rsidRDefault="004010B9" w:rsidP="001D6520">
      <w:pPr>
        <w:tabs>
          <w:tab w:val="left" w:pos="284"/>
        </w:tabs>
        <w:spacing w:line="276" w:lineRule="auto"/>
        <w:ind w:left="284" w:right="-1"/>
        <w:jc w:val="both"/>
        <w:rPr>
          <w:rFonts w:cs="Arial"/>
        </w:rPr>
      </w:pPr>
      <w:r w:rsidRPr="00EA359E">
        <w:rPr>
          <w:rFonts w:cs="Arial"/>
        </w:rPr>
        <w:t xml:space="preserve">Bei vereinbarter </w:t>
      </w:r>
      <w:r w:rsidRPr="00EA359E">
        <w:rPr>
          <w:rFonts w:cs="Arial"/>
          <w:b/>
        </w:rPr>
        <w:t>fixer Verzinsung</w:t>
      </w:r>
      <w:r w:rsidRPr="00EA359E">
        <w:rPr>
          <w:rFonts w:cs="Arial"/>
        </w:rPr>
        <w:t xml:space="preserve"> ist als Referenzzinssatz der von der </w:t>
      </w:r>
      <w:proofErr w:type="spellStart"/>
      <w:r w:rsidRPr="00EA359E">
        <w:rPr>
          <w:rFonts w:cs="Arial"/>
        </w:rPr>
        <w:t>Oesterreichischen</w:t>
      </w:r>
      <w:proofErr w:type="spellEnd"/>
      <w:r w:rsidRPr="00EA359E">
        <w:rPr>
          <w:rFonts w:cs="Arial"/>
        </w:rPr>
        <w:t xml:space="preserve"> Nationalbank für den </w:t>
      </w:r>
      <w:r w:rsidRPr="00EA359E">
        <w:rPr>
          <w:rFonts w:cs="Arial"/>
          <w:b/>
        </w:rPr>
        <w:t>Monat des Abschlusses des Darlehensvertrages</w:t>
      </w:r>
      <w:r w:rsidRPr="00EA359E">
        <w:rPr>
          <w:rFonts w:cs="Arial"/>
        </w:rPr>
        <w:t xml:space="preserve"> veröffentlichte „Kreditzinssatz im Neugeschäft an private Haushalte für Wohnbau mit anfänglicher Zinsbindung über zehn Jahre“, der um 10</w:t>
      </w:r>
      <w:r w:rsidR="000F213E">
        <w:rPr>
          <w:rFonts w:cs="Arial"/>
        </w:rPr>
        <w:t> </w:t>
      </w:r>
      <w:r w:rsidRPr="00EA359E">
        <w:rPr>
          <w:rFonts w:cs="Arial"/>
        </w:rPr>
        <w:t>% vermindert wird, anzusetzen, wobei dieser Zinssatz für den gesamten Zeitraum maßgeblich ist</w:t>
      </w:r>
      <w:r w:rsidR="0020557A">
        <w:rPr>
          <w:rFonts w:cs="Arial"/>
        </w:rPr>
        <w:t>,</w:t>
      </w:r>
      <w:r w:rsidR="00C926A9">
        <w:rPr>
          <w:rFonts w:cs="Arial"/>
        </w:rPr>
        <w:t xml:space="preserve"> </w:t>
      </w:r>
      <w:r w:rsidRPr="00EA359E">
        <w:rPr>
          <w:rFonts w:cs="Arial"/>
        </w:rPr>
        <w:t>für den ein fixer Zinssatz vereinbart wurde.</w:t>
      </w:r>
    </w:p>
    <w:p w14:paraId="57CC5BF0" w14:textId="77777777" w:rsidR="00FA0E74" w:rsidRPr="00EA359E" w:rsidRDefault="00FA0E74" w:rsidP="001D6520">
      <w:pPr>
        <w:tabs>
          <w:tab w:val="left" w:pos="284"/>
        </w:tabs>
        <w:spacing w:line="276" w:lineRule="auto"/>
        <w:ind w:left="284" w:right="-1"/>
        <w:jc w:val="both"/>
        <w:rPr>
          <w:rFonts w:cs="Arial"/>
        </w:rPr>
      </w:pPr>
    </w:p>
    <w:p w14:paraId="1569B35A" w14:textId="540BBC1F" w:rsidR="00750E4D" w:rsidRPr="00EA359E" w:rsidRDefault="00750E4D" w:rsidP="00C919B0">
      <w:pPr>
        <w:pStyle w:val="AufzhlungenKlifonichtfett"/>
      </w:pPr>
      <w:r w:rsidRPr="00560995">
        <w:lastRenderedPageBreak/>
        <w:t xml:space="preserve">Sachbezugswert </w:t>
      </w:r>
      <w:r w:rsidRPr="00C919B0">
        <w:rPr>
          <w:b/>
          <w:bCs/>
        </w:rPr>
        <w:t>Wohnraum</w:t>
      </w:r>
      <w:r w:rsidR="00CD79F1" w:rsidRPr="00C919B0">
        <w:rPr>
          <w:b/>
          <w:bCs/>
        </w:rPr>
        <w:t xml:space="preserve"> </w:t>
      </w:r>
      <w:r w:rsidR="00956BB7" w:rsidRPr="00C919B0">
        <w:rPr>
          <w:b/>
          <w:bCs/>
        </w:rPr>
        <w:t>für 2026 unverändert</w:t>
      </w:r>
      <w:r w:rsidRPr="00EA359E">
        <w:t xml:space="preserve"> </w:t>
      </w:r>
    </w:p>
    <w:tbl>
      <w:tblPr>
        <w:tblW w:w="904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779"/>
        <w:gridCol w:w="838"/>
        <w:gridCol w:w="698"/>
        <w:gridCol w:w="699"/>
        <w:gridCol w:w="699"/>
        <w:gridCol w:w="726"/>
        <w:gridCol w:w="698"/>
        <w:gridCol w:w="782"/>
        <w:gridCol w:w="726"/>
      </w:tblGrid>
      <w:tr w:rsidR="00750E4D" w:rsidRPr="00EA359E" w14:paraId="7388299B" w14:textId="77777777" w:rsidTr="00FC1C30">
        <w:trPr>
          <w:trHeight w:val="300"/>
        </w:trPr>
        <w:tc>
          <w:tcPr>
            <w:tcW w:w="2410" w:type="dxa"/>
            <w:shd w:val="clear" w:color="auto" w:fill="auto"/>
            <w:vAlign w:val="bottom"/>
            <w:hideMark/>
          </w:tcPr>
          <w:p w14:paraId="328FB77F" w14:textId="0FA6741E" w:rsidR="00750E4D" w:rsidRPr="00EA359E" w:rsidRDefault="003F0FCB" w:rsidP="00B71DD0">
            <w:pPr>
              <w:ind w:right="141"/>
              <w:rPr>
                <w:rFonts w:cs="Arial"/>
                <w:color w:val="000000"/>
                <w:lang w:val="de-DE"/>
              </w:rPr>
            </w:pPr>
            <w:r w:rsidRPr="00EA359E">
              <w:rPr>
                <w:rFonts w:cs="Arial"/>
                <w:color w:val="000000"/>
                <w:lang w:val="de-DE"/>
              </w:rPr>
              <w:t>=</w:t>
            </w:r>
            <w:r w:rsidR="008F5E7F" w:rsidRPr="00EA359E">
              <w:rPr>
                <w:rFonts w:cs="Arial"/>
                <w:color w:val="000000"/>
                <w:lang w:val="de-DE"/>
              </w:rPr>
              <w:t xml:space="preserve"> </w:t>
            </w:r>
            <w:r w:rsidRPr="00EA359E">
              <w:rPr>
                <w:rFonts w:cs="Arial"/>
                <w:color w:val="000000"/>
                <w:lang w:val="de-DE"/>
              </w:rPr>
              <w:t>Richtwert</w:t>
            </w:r>
            <w:r w:rsidR="00956BB7">
              <w:rPr>
                <w:rFonts w:cs="Arial"/>
                <w:color w:val="000000"/>
                <w:lang w:val="de-DE"/>
              </w:rPr>
              <w:t xml:space="preserve"> ab </w:t>
            </w:r>
            <w:r w:rsidRPr="00EA359E">
              <w:rPr>
                <w:rFonts w:cs="Arial"/>
                <w:color w:val="000000"/>
                <w:lang w:val="de-DE"/>
              </w:rPr>
              <w:t>1.</w:t>
            </w:r>
            <w:r w:rsidR="00956BB7">
              <w:rPr>
                <w:rFonts w:cs="Arial"/>
                <w:color w:val="000000"/>
                <w:lang w:val="de-DE"/>
              </w:rPr>
              <w:t>1</w:t>
            </w:r>
            <w:r w:rsidRPr="00EA359E">
              <w:rPr>
                <w:rFonts w:cs="Arial"/>
                <w:color w:val="000000"/>
                <w:lang w:val="de-DE"/>
              </w:rPr>
              <w:t>.202</w:t>
            </w:r>
            <w:r w:rsidR="00956BB7">
              <w:rPr>
                <w:rFonts w:cs="Arial"/>
                <w:color w:val="000000"/>
                <w:lang w:val="de-DE"/>
              </w:rPr>
              <w:t>4</w:t>
            </w:r>
          </w:p>
        </w:tc>
        <w:tc>
          <w:tcPr>
            <w:tcW w:w="779" w:type="dxa"/>
            <w:shd w:val="clear" w:color="auto" w:fill="auto"/>
            <w:noWrap/>
            <w:vAlign w:val="bottom"/>
            <w:hideMark/>
          </w:tcPr>
          <w:p w14:paraId="4E7F5170" w14:textId="77777777" w:rsidR="00750E4D" w:rsidRPr="00EA359E" w:rsidRDefault="00750E4D" w:rsidP="00F1173A">
            <w:pPr>
              <w:rPr>
                <w:lang w:val="de-DE"/>
              </w:rPr>
            </w:pPr>
            <w:proofErr w:type="spellStart"/>
            <w:r w:rsidRPr="00EA359E">
              <w:rPr>
                <w:lang w:val="de-DE"/>
              </w:rPr>
              <w:t>Bgld</w:t>
            </w:r>
            <w:proofErr w:type="spellEnd"/>
          </w:p>
        </w:tc>
        <w:tc>
          <w:tcPr>
            <w:tcW w:w="838" w:type="dxa"/>
            <w:shd w:val="clear" w:color="auto" w:fill="auto"/>
            <w:noWrap/>
            <w:vAlign w:val="bottom"/>
            <w:hideMark/>
          </w:tcPr>
          <w:p w14:paraId="0564086A" w14:textId="77777777" w:rsidR="00750E4D" w:rsidRPr="00EA359E" w:rsidRDefault="00750E4D" w:rsidP="00F1173A">
            <w:pPr>
              <w:rPr>
                <w:lang w:val="de-DE"/>
              </w:rPr>
            </w:pPr>
            <w:proofErr w:type="spellStart"/>
            <w:r w:rsidRPr="00EA359E">
              <w:rPr>
                <w:lang w:val="de-DE"/>
              </w:rPr>
              <w:t>Knt</w:t>
            </w:r>
            <w:proofErr w:type="spellEnd"/>
          </w:p>
        </w:tc>
        <w:tc>
          <w:tcPr>
            <w:tcW w:w="698" w:type="dxa"/>
            <w:shd w:val="clear" w:color="auto" w:fill="auto"/>
            <w:noWrap/>
            <w:vAlign w:val="bottom"/>
            <w:hideMark/>
          </w:tcPr>
          <w:p w14:paraId="69A36C00" w14:textId="77777777" w:rsidR="00750E4D" w:rsidRPr="00EA359E" w:rsidRDefault="00750E4D" w:rsidP="00F1173A">
            <w:pPr>
              <w:rPr>
                <w:lang w:val="de-DE"/>
              </w:rPr>
            </w:pPr>
            <w:r w:rsidRPr="00EA359E">
              <w:rPr>
                <w:lang w:val="de-DE"/>
              </w:rPr>
              <w:t>NÖ</w:t>
            </w:r>
          </w:p>
        </w:tc>
        <w:tc>
          <w:tcPr>
            <w:tcW w:w="699" w:type="dxa"/>
            <w:shd w:val="clear" w:color="auto" w:fill="auto"/>
            <w:noWrap/>
            <w:vAlign w:val="bottom"/>
            <w:hideMark/>
          </w:tcPr>
          <w:p w14:paraId="3D731D42" w14:textId="77777777" w:rsidR="00750E4D" w:rsidRPr="00EA359E" w:rsidRDefault="00750E4D" w:rsidP="00F1173A">
            <w:pPr>
              <w:rPr>
                <w:lang w:val="de-DE"/>
              </w:rPr>
            </w:pPr>
            <w:r w:rsidRPr="00EA359E">
              <w:rPr>
                <w:lang w:val="de-DE"/>
              </w:rPr>
              <w:t>OÖ</w:t>
            </w:r>
          </w:p>
        </w:tc>
        <w:tc>
          <w:tcPr>
            <w:tcW w:w="699" w:type="dxa"/>
            <w:shd w:val="clear" w:color="auto" w:fill="auto"/>
            <w:noWrap/>
            <w:vAlign w:val="bottom"/>
            <w:hideMark/>
          </w:tcPr>
          <w:p w14:paraId="04363DFA" w14:textId="77777777" w:rsidR="00750E4D" w:rsidRPr="00EA359E" w:rsidRDefault="00750E4D" w:rsidP="00F1173A">
            <w:pPr>
              <w:rPr>
                <w:lang w:val="de-DE"/>
              </w:rPr>
            </w:pPr>
            <w:proofErr w:type="spellStart"/>
            <w:r w:rsidRPr="00EA359E">
              <w:rPr>
                <w:lang w:val="de-DE"/>
              </w:rPr>
              <w:t>Slbg</w:t>
            </w:r>
            <w:proofErr w:type="spellEnd"/>
          </w:p>
        </w:tc>
        <w:tc>
          <w:tcPr>
            <w:tcW w:w="726" w:type="dxa"/>
            <w:shd w:val="clear" w:color="auto" w:fill="auto"/>
            <w:noWrap/>
            <w:vAlign w:val="bottom"/>
            <w:hideMark/>
          </w:tcPr>
          <w:p w14:paraId="2FF460DC" w14:textId="77777777" w:rsidR="00750E4D" w:rsidRPr="00EA359E" w:rsidRDefault="00750E4D" w:rsidP="00F1173A">
            <w:pPr>
              <w:rPr>
                <w:lang w:val="de-DE"/>
              </w:rPr>
            </w:pPr>
            <w:proofErr w:type="spellStart"/>
            <w:r w:rsidRPr="00EA359E">
              <w:rPr>
                <w:lang w:val="de-DE"/>
              </w:rPr>
              <w:t>Stmk</w:t>
            </w:r>
            <w:proofErr w:type="spellEnd"/>
          </w:p>
        </w:tc>
        <w:tc>
          <w:tcPr>
            <w:tcW w:w="698" w:type="dxa"/>
            <w:shd w:val="clear" w:color="auto" w:fill="auto"/>
            <w:noWrap/>
            <w:vAlign w:val="bottom"/>
            <w:hideMark/>
          </w:tcPr>
          <w:p w14:paraId="4D34A4DF" w14:textId="77777777" w:rsidR="00750E4D" w:rsidRPr="00EA359E" w:rsidRDefault="00750E4D" w:rsidP="00F1173A">
            <w:pPr>
              <w:rPr>
                <w:lang w:val="de-DE"/>
              </w:rPr>
            </w:pPr>
            <w:r w:rsidRPr="00EA359E">
              <w:rPr>
                <w:lang w:val="de-DE"/>
              </w:rPr>
              <w:t>Tirol</w:t>
            </w:r>
          </w:p>
        </w:tc>
        <w:tc>
          <w:tcPr>
            <w:tcW w:w="771" w:type="dxa"/>
            <w:shd w:val="clear" w:color="auto" w:fill="auto"/>
            <w:noWrap/>
            <w:vAlign w:val="bottom"/>
            <w:hideMark/>
          </w:tcPr>
          <w:p w14:paraId="77A5EDC1" w14:textId="77777777" w:rsidR="00750E4D" w:rsidRPr="00EA359E" w:rsidRDefault="00750E4D" w:rsidP="00F1173A">
            <w:pPr>
              <w:rPr>
                <w:lang w:val="de-DE"/>
              </w:rPr>
            </w:pPr>
            <w:proofErr w:type="spellStart"/>
            <w:r w:rsidRPr="00EA359E">
              <w:rPr>
                <w:lang w:val="de-DE"/>
              </w:rPr>
              <w:t>Vbg</w:t>
            </w:r>
            <w:proofErr w:type="spellEnd"/>
          </w:p>
        </w:tc>
        <w:tc>
          <w:tcPr>
            <w:tcW w:w="726" w:type="dxa"/>
            <w:shd w:val="clear" w:color="auto" w:fill="auto"/>
            <w:noWrap/>
            <w:vAlign w:val="bottom"/>
            <w:hideMark/>
          </w:tcPr>
          <w:p w14:paraId="339EF0C9" w14:textId="77777777" w:rsidR="00750E4D" w:rsidRPr="00EA359E" w:rsidRDefault="00750E4D" w:rsidP="00F1173A">
            <w:pPr>
              <w:rPr>
                <w:lang w:val="de-DE"/>
              </w:rPr>
            </w:pPr>
            <w:r w:rsidRPr="00EA359E">
              <w:rPr>
                <w:lang w:val="de-DE"/>
              </w:rPr>
              <w:t xml:space="preserve">Wien </w:t>
            </w:r>
          </w:p>
        </w:tc>
      </w:tr>
      <w:tr w:rsidR="00750E4D" w:rsidRPr="00EA359E" w14:paraId="7122069D" w14:textId="77777777" w:rsidTr="004419A0">
        <w:trPr>
          <w:trHeight w:val="300"/>
        </w:trPr>
        <w:tc>
          <w:tcPr>
            <w:tcW w:w="2410" w:type="dxa"/>
            <w:shd w:val="clear" w:color="auto" w:fill="auto"/>
            <w:noWrap/>
            <w:vAlign w:val="bottom"/>
            <w:hideMark/>
          </w:tcPr>
          <w:p w14:paraId="49B1104D" w14:textId="08D1D439" w:rsidR="00750E4D" w:rsidRPr="00EA359E" w:rsidRDefault="00750E4D" w:rsidP="00B71DD0">
            <w:pPr>
              <w:ind w:right="141"/>
              <w:rPr>
                <w:rFonts w:cs="Arial"/>
                <w:b/>
                <w:bCs/>
                <w:color w:val="000000"/>
                <w:lang w:val="de-DE"/>
              </w:rPr>
            </w:pPr>
            <w:r w:rsidRPr="00EA359E">
              <w:rPr>
                <w:rFonts w:cs="Arial"/>
                <w:b/>
                <w:bCs/>
                <w:color w:val="000000"/>
                <w:lang w:val="de-DE"/>
              </w:rPr>
              <w:t xml:space="preserve"> €/m² Woh</w:t>
            </w:r>
            <w:r w:rsidR="00326DFF" w:rsidRPr="00EA359E">
              <w:rPr>
                <w:rFonts w:cs="Arial"/>
                <w:b/>
                <w:bCs/>
                <w:color w:val="000000"/>
                <w:lang w:val="de-DE"/>
              </w:rPr>
              <w:t>n</w:t>
            </w:r>
            <w:r w:rsidRPr="00EA359E">
              <w:rPr>
                <w:rFonts w:cs="Arial"/>
                <w:b/>
                <w:bCs/>
                <w:color w:val="000000"/>
                <w:lang w:val="de-DE"/>
              </w:rPr>
              <w:t xml:space="preserve">fläche </w:t>
            </w:r>
            <w:r w:rsidR="00C926A9">
              <w:rPr>
                <w:rFonts w:cs="Arial"/>
                <w:b/>
                <w:bCs/>
                <w:color w:val="000000"/>
                <w:lang w:val="de-DE"/>
              </w:rPr>
              <w:t>p</w:t>
            </w:r>
            <w:r w:rsidR="00115A93">
              <w:rPr>
                <w:rFonts w:cs="Arial"/>
                <w:b/>
                <w:bCs/>
                <w:color w:val="000000"/>
                <w:lang w:val="de-DE"/>
              </w:rPr>
              <w:t>.</w:t>
            </w:r>
            <w:r w:rsidR="00C926A9">
              <w:rPr>
                <w:rFonts w:cs="Arial"/>
                <w:b/>
                <w:bCs/>
                <w:color w:val="000000"/>
                <w:lang w:val="de-DE"/>
              </w:rPr>
              <w:t>m</w:t>
            </w:r>
            <w:r w:rsidR="00115A93">
              <w:rPr>
                <w:rFonts w:cs="Arial"/>
                <w:b/>
                <w:bCs/>
                <w:color w:val="000000"/>
                <w:lang w:val="de-DE"/>
              </w:rPr>
              <w:t>.</w:t>
            </w:r>
          </w:p>
        </w:tc>
        <w:tc>
          <w:tcPr>
            <w:tcW w:w="779" w:type="dxa"/>
            <w:shd w:val="clear" w:color="auto" w:fill="B8CCE4" w:themeFill="accent1" w:themeFillTint="66"/>
            <w:noWrap/>
            <w:vAlign w:val="bottom"/>
            <w:hideMark/>
          </w:tcPr>
          <w:p w14:paraId="28CB3084" w14:textId="2F85469F" w:rsidR="00750E4D" w:rsidRPr="00EA359E" w:rsidRDefault="00CD79F1" w:rsidP="00B71DD0">
            <w:pPr>
              <w:ind w:right="141"/>
              <w:jc w:val="center"/>
              <w:rPr>
                <w:rFonts w:cs="Arial"/>
                <w:b/>
                <w:bCs/>
                <w:color w:val="000000"/>
                <w:lang w:val="de-DE"/>
              </w:rPr>
            </w:pPr>
            <w:r w:rsidRPr="00EA359E">
              <w:rPr>
                <w:rFonts w:cs="Arial"/>
                <w:b/>
                <w:bCs/>
                <w:color w:val="000000"/>
                <w:lang w:val="de-DE"/>
              </w:rPr>
              <w:t>6,09</w:t>
            </w:r>
          </w:p>
        </w:tc>
        <w:tc>
          <w:tcPr>
            <w:tcW w:w="838" w:type="dxa"/>
            <w:shd w:val="clear" w:color="auto" w:fill="B8CCE4" w:themeFill="accent1" w:themeFillTint="66"/>
            <w:noWrap/>
            <w:vAlign w:val="bottom"/>
            <w:hideMark/>
          </w:tcPr>
          <w:p w14:paraId="161109ED" w14:textId="1B56635A" w:rsidR="00750E4D" w:rsidRPr="00EA359E" w:rsidRDefault="00CD79F1" w:rsidP="00B71DD0">
            <w:pPr>
              <w:ind w:right="141"/>
              <w:jc w:val="center"/>
              <w:rPr>
                <w:rFonts w:cs="Arial"/>
                <w:b/>
                <w:bCs/>
                <w:color w:val="000000"/>
                <w:lang w:val="de-DE"/>
              </w:rPr>
            </w:pPr>
            <w:r w:rsidRPr="00EA359E">
              <w:rPr>
                <w:rFonts w:cs="Arial"/>
                <w:b/>
                <w:bCs/>
                <w:color w:val="000000"/>
                <w:lang w:val="de-DE"/>
              </w:rPr>
              <w:t>7,81</w:t>
            </w:r>
          </w:p>
        </w:tc>
        <w:tc>
          <w:tcPr>
            <w:tcW w:w="698" w:type="dxa"/>
            <w:shd w:val="clear" w:color="auto" w:fill="B8CCE4" w:themeFill="accent1" w:themeFillTint="66"/>
            <w:noWrap/>
            <w:vAlign w:val="bottom"/>
            <w:hideMark/>
          </w:tcPr>
          <w:p w14:paraId="26B69800" w14:textId="5A41229D" w:rsidR="00750E4D" w:rsidRPr="00EA359E" w:rsidRDefault="00CD79F1" w:rsidP="00B71DD0">
            <w:pPr>
              <w:ind w:right="141"/>
              <w:jc w:val="center"/>
              <w:rPr>
                <w:rFonts w:cs="Arial"/>
                <w:b/>
                <w:bCs/>
                <w:color w:val="000000"/>
                <w:lang w:val="de-DE"/>
              </w:rPr>
            </w:pPr>
            <w:r w:rsidRPr="00EA359E">
              <w:rPr>
                <w:rFonts w:cs="Arial"/>
                <w:b/>
                <w:bCs/>
                <w:color w:val="000000"/>
                <w:lang w:val="de-DE"/>
              </w:rPr>
              <w:t>6,85</w:t>
            </w:r>
          </w:p>
        </w:tc>
        <w:tc>
          <w:tcPr>
            <w:tcW w:w="699" w:type="dxa"/>
            <w:shd w:val="clear" w:color="auto" w:fill="B8CCE4" w:themeFill="accent1" w:themeFillTint="66"/>
            <w:noWrap/>
            <w:vAlign w:val="bottom"/>
            <w:hideMark/>
          </w:tcPr>
          <w:p w14:paraId="45F1F5BE" w14:textId="1F0B0BCA" w:rsidR="00750E4D" w:rsidRPr="00EA359E" w:rsidRDefault="00CD79F1" w:rsidP="00B71DD0">
            <w:pPr>
              <w:ind w:right="141"/>
              <w:jc w:val="center"/>
              <w:rPr>
                <w:rFonts w:cs="Arial"/>
                <w:b/>
                <w:bCs/>
                <w:color w:val="000000"/>
                <w:lang w:val="de-DE"/>
              </w:rPr>
            </w:pPr>
            <w:r w:rsidRPr="00EA359E">
              <w:rPr>
                <w:rFonts w:cs="Arial"/>
                <w:b/>
                <w:bCs/>
                <w:color w:val="000000"/>
                <w:lang w:val="de-DE"/>
              </w:rPr>
              <w:t>7,23</w:t>
            </w:r>
          </w:p>
        </w:tc>
        <w:tc>
          <w:tcPr>
            <w:tcW w:w="699" w:type="dxa"/>
            <w:shd w:val="clear" w:color="auto" w:fill="B8CCE4" w:themeFill="accent1" w:themeFillTint="66"/>
            <w:noWrap/>
            <w:vAlign w:val="bottom"/>
            <w:hideMark/>
          </w:tcPr>
          <w:p w14:paraId="6E6D4746" w14:textId="192A5EE8" w:rsidR="00750E4D" w:rsidRPr="00EA359E" w:rsidRDefault="00CD79F1" w:rsidP="00B71DD0">
            <w:pPr>
              <w:ind w:right="141"/>
              <w:jc w:val="center"/>
              <w:rPr>
                <w:rFonts w:cs="Arial"/>
                <w:b/>
                <w:bCs/>
                <w:color w:val="000000"/>
                <w:lang w:val="de-DE"/>
              </w:rPr>
            </w:pPr>
            <w:r w:rsidRPr="00EA359E">
              <w:rPr>
                <w:rFonts w:cs="Arial"/>
                <w:b/>
                <w:bCs/>
                <w:color w:val="000000"/>
                <w:lang w:val="de-DE"/>
              </w:rPr>
              <w:t>9,22</w:t>
            </w:r>
          </w:p>
        </w:tc>
        <w:tc>
          <w:tcPr>
            <w:tcW w:w="726" w:type="dxa"/>
            <w:shd w:val="clear" w:color="auto" w:fill="B8CCE4" w:themeFill="accent1" w:themeFillTint="66"/>
            <w:noWrap/>
            <w:vAlign w:val="bottom"/>
            <w:hideMark/>
          </w:tcPr>
          <w:p w14:paraId="71542CAE" w14:textId="5D2A1C5C" w:rsidR="00750E4D" w:rsidRPr="00EA359E" w:rsidRDefault="00CD79F1" w:rsidP="00B71DD0">
            <w:pPr>
              <w:ind w:right="141"/>
              <w:jc w:val="center"/>
              <w:rPr>
                <w:rFonts w:cs="Arial"/>
                <w:b/>
                <w:bCs/>
                <w:color w:val="000000"/>
                <w:lang w:val="de-DE"/>
              </w:rPr>
            </w:pPr>
            <w:r w:rsidRPr="00EA359E">
              <w:rPr>
                <w:rFonts w:cs="Arial"/>
                <w:b/>
                <w:bCs/>
                <w:color w:val="000000"/>
                <w:lang w:val="de-DE"/>
              </w:rPr>
              <w:t>9,21</w:t>
            </w:r>
          </w:p>
        </w:tc>
        <w:tc>
          <w:tcPr>
            <w:tcW w:w="698" w:type="dxa"/>
            <w:shd w:val="clear" w:color="auto" w:fill="B8CCE4" w:themeFill="accent1" w:themeFillTint="66"/>
            <w:noWrap/>
            <w:vAlign w:val="bottom"/>
            <w:hideMark/>
          </w:tcPr>
          <w:p w14:paraId="454310E9" w14:textId="74DF6573" w:rsidR="00750E4D" w:rsidRPr="00EA359E" w:rsidRDefault="00CD79F1" w:rsidP="00B71DD0">
            <w:pPr>
              <w:ind w:right="141"/>
              <w:jc w:val="center"/>
              <w:rPr>
                <w:rFonts w:cs="Arial"/>
                <w:b/>
                <w:bCs/>
                <w:color w:val="000000"/>
                <w:lang w:val="de-DE"/>
              </w:rPr>
            </w:pPr>
            <w:r w:rsidRPr="00EA359E">
              <w:rPr>
                <w:rFonts w:cs="Arial"/>
                <w:b/>
                <w:bCs/>
                <w:color w:val="000000"/>
                <w:lang w:val="de-DE"/>
              </w:rPr>
              <w:t>8,14</w:t>
            </w:r>
          </w:p>
        </w:tc>
        <w:tc>
          <w:tcPr>
            <w:tcW w:w="771" w:type="dxa"/>
            <w:shd w:val="clear" w:color="auto" w:fill="B8CCE4" w:themeFill="accent1" w:themeFillTint="66"/>
            <w:noWrap/>
            <w:vAlign w:val="bottom"/>
            <w:hideMark/>
          </w:tcPr>
          <w:p w14:paraId="38ECA4AB" w14:textId="1869C56C" w:rsidR="00750E4D" w:rsidRPr="00EA359E" w:rsidRDefault="00CD79F1" w:rsidP="00B71DD0">
            <w:pPr>
              <w:ind w:right="141"/>
              <w:jc w:val="center"/>
              <w:rPr>
                <w:rFonts w:cs="Arial"/>
                <w:b/>
                <w:bCs/>
                <w:color w:val="000000"/>
                <w:lang w:val="de-DE"/>
              </w:rPr>
            </w:pPr>
            <w:r w:rsidRPr="00EA359E">
              <w:rPr>
                <w:rFonts w:cs="Arial"/>
                <w:b/>
                <w:bCs/>
                <w:color w:val="000000"/>
                <w:lang w:val="de-DE"/>
              </w:rPr>
              <w:t>10,25</w:t>
            </w:r>
          </w:p>
        </w:tc>
        <w:tc>
          <w:tcPr>
            <w:tcW w:w="726" w:type="dxa"/>
            <w:shd w:val="clear" w:color="auto" w:fill="B8CCE4" w:themeFill="accent1" w:themeFillTint="66"/>
            <w:noWrap/>
            <w:vAlign w:val="bottom"/>
            <w:hideMark/>
          </w:tcPr>
          <w:p w14:paraId="69760EC8" w14:textId="586B39DB" w:rsidR="00750E4D" w:rsidRPr="00EA359E" w:rsidRDefault="00CD79F1" w:rsidP="00B71DD0">
            <w:pPr>
              <w:ind w:right="141"/>
              <w:jc w:val="center"/>
              <w:rPr>
                <w:rFonts w:cs="Arial"/>
                <w:b/>
                <w:bCs/>
                <w:color w:val="000000"/>
                <w:lang w:val="de-DE"/>
              </w:rPr>
            </w:pPr>
            <w:r w:rsidRPr="00EA359E">
              <w:rPr>
                <w:rFonts w:cs="Arial"/>
                <w:b/>
                <w:bCs/>
                <w:color w:val="000000"/>
                <w:lang w:val="de-DE"/>
              </w:rPr>
              <w:t>6,67</w:t>
            </w:r>
          </w:p>
        </w:tc>
      </w:tr>
    </w:tbl>
    <w:p w14:paraId="7CD7F612" w14:textId="77777777" w:rsidR="00B27630" w:rsidRPr="00EA359E" w:rsidRDefault="00B27630" w:rsidP="00B71DD0">
      <w:pPr>
        <w:pStyle w:val="Listenabsatz"/>
        <w:spacing w:line="276" w:lineRule="auto"/>
        <w:ind w:left="284" w:right="141"/>
        <w:jc w:val="both"/>
        <w:rPr>
          <w:rFonts w:cs="Arial"/>
        </w:rPr>
      </w:pPr>
    </w:p>
    <w:p w14:paraId="75E8099B" w14:textId="6FD3FBF7" w:rsidR="009C108D" w:rsidRPr="00EA359E" w:rsidRDefault="00B27630" w:rsidP="001D6520">
      <w:pPr>
        <w:pStyle w:val="Listenabsatz"/>
        <w:spacing w:line="276" w:lineRule="auto"/>
        <w:ind w:left="284" w:right="-1"/>
        <w:jc w:val="both"/>
        <w:rPr>
          <w:rFonts w:cs="Arial"/>
        </w:rPr>
      </w:pPr>
      <w:r w:rsidRPr="00796A01">
        <w:rPr>
          <w:rFonts w:cs="Arial"/>
        </w:rPr>
        <w:t>Für die Zurverfügungstellung einer arbeitsplatznahen Unterkunft gilt</w:t>
      </w:r>
      <w:r w:rsidR="00796A01" w:rsidRPr="00796A01">
        <w:rPr>
          <w:rFonts w:cs="Arial"/>
        </w:rPr>
        <w:t xml:space="preserve"> weiter wie bisher</w:t>
      </w:r>
      <w:r w:rsidR="004010B9" w:rsidRPr="00796A01">
        <w:rPr>
          <w:rFonts w:cs="Arial"/>
        </w:rPr>
        <w:t xml:space="preserve">, dass </w:t>
      </w:r>
      <w:r w:rsidRPr="00796A01">
        <w:rPr>
          <w:rFonts w:cs="Arial"/>
        </w:rPr>
        <w:t xml:space="preserve">bis zu einer </w:t>
      </w:r>
      <w:r w:rsidRPr="00796A01">
        <w:rPr>
          <w:rFonts w:cs="Arial"/>
          <w:b/>
          <w:bCs/>
        </w:rPr>
        <w:t>Größe von 35</w:t>
      </w:r>
      <w:r w:rsidR="00B72666" w:rsidRPr="00796A01">
        <w:rPr>
          <w:rFonts w:cs="Arial"/>
          <w:b/>
          <w:bCs/>
        </w:rPr>
        <w:t xml:space="preserve"> </w:t>
      </w:r>
      <w:r w:rsidRPr="00796A01">
        <w:rPr>
          <w:rFonts w:cs="Arial"/>
          <w:b/>
          <w:bCs/>
        </w:rPr>
        <w:t xml:space="preserve">m² </w:t>
      </w:r>
      <w:r w:rsidR="00A26D62" w:rsidRPr="00796A01">
        <w:rPr>
          <w:rFonts w:cs="Arial"/>
          <w:b/>
          <w:bCs/>
        </w:rPr>
        <w:t>k</w:t>
      </w:r>
      <w:r w:rsidRPr="00796A01">
        <w:rPr>
          <w:rFonts w:cs="Arial"/>
          <w:b/>
          <w:bCs/>
        </w:rPr>
        <w:t>ein Sachbezug</w:t>
      </w:r>
      <w:r w:rsidRPr="00796A01">
        <w:rPr>
          <w:rFonts w:cs="Arial"/>
        </w:rPr>
        <w:t xml:space="preserve"> anzusetzen ist</w:t>
      </w:r>
      <w:r w:rsidR="0020557A" w:rsidRPr="00796A01">
        <w:rPr>
          <w:rFonts w:cs="Arial"/>
        </w:rPr>
        <w:t>. D</w:t>
      </w:r>
      <w:r w:rsidRPr="00796A01">
        <w:rPr>
          <w:rFonts w:cs="Arial"/>
        </w:rPr>
        <w:t>arüber hinaus</w:t>
      </w:r>
      <w:r w:rsidR="0046550F" w:rsidRPr="00796A01">
        <w:rPr>
          <w:rFonts w:cs="Arial"/>
          <w:color w:val="C00000"/>
        </w:rPr>
        <w:t xml:space="preserve"> </w:t>
      </w:r>
      <w:r w:rsidR="0020557A" w:rsidRPr="00796A01">
        <w:rPr>
          <w:rFonts w:cs="Arial"/>
        </w:rPr>
        <w:t xml:space="preserve">ist </w:t>
      </w:r>
      <w:r w:rsidRPr="00796A01">
        <w:rPr>
          <w:rFonts w:cs="Arial"/>
        </w:rPr>
        <w:t xml:space="preserve">bis zu einer </w:t>
      </w:r>
      <w:r w:rsidRPr="00796A01">
        <w:rPr>
          <w:rFonts w:cs="Arial"/>
          <w:b/>
          <w:bCs/>
        </w:rPr>
        <w:t>Größe von 45</w:t>
      </w:r>
      <w:r w:rsidR="00B72666" w:rsidRPr="00796A01">
        <w:rPr>
          <w:rFonts w:cs="Arial"/>
          <w:b/>
          <w:bCs/>
        </w:rPr>
        <w:t xml:space="preserve"> </w:t>
      </w:r>
      <w:r w:rsidRPr="00796A01">
        <w:rPr>
          <w:rFonts w:cs="Arial"/>
          <w:b/>
          <w:bCs/>
        </w:rPr>
        <w:t>m²</w:t>
      </w:r>
      <w:r w:rsidRPr="00796A01">
        <w:rPr>
          <w:rFonts w:cs="Arial"/>
        </w:rPr>
        <w:t xml:space="preserve"> der Sachbezug um 35</w:t>
      </w:r>
      <w:r w:rsidR="0020557A" w:rsidRPr="00796A01">
        <w:rPr>
          <w:rFonts w:cs="Arial"/>
        </w:rPr>
        <w:t> </w:t>
      </w:r>
      <w:r w:rsidRPr="00796A01">
        <w:rPr>
          <w:rFonts w:cs="Arial"/>
        </w:rPr>
        <w:t xml:space="preserve">% </w:t>
      </w:r>
      <w:r w:rsidR="00A26D62" w:rsidRPr="00796A01">
        <w:rPr>
          <w:rFonts w:cs="Arial"/>
        </w:rPr>
        <w:t>zu mindern</w:t>
      </w:r>
      <w:r w:rsidRPr="00796A01">
        <w:rPr>
          <w:rFonts w:cs="Arial"/>
        </w:rPr>
        <w:t xml:space="preserve">. Die Aufteilung der Gemeinschaftsflächen erfolgt nach der Anzahl der Arbeitnehmer, </w:t>
      </w:r>
      <w:r w:rsidR="0020557A" w:rsidRPr="00796A01">
        <w:rPr>
          <w:rFonts w:cs="Arial"/>
        </w:rPr>
        <w:t>denen</w:t>
      </w:r>
      <w:r w:rsidRPr="00796A01">
        <w:rPr>
          <w:rFonts w:cs="Arial"/>
        </w:rPr>
        <w:t xml:space="preserve"> die Unterkunft im jeweiligen Lohnzahlungszeitraum überwiegend (mehr als die Hälfte des Kalendermonats) zur Verfügung gestellt wird.</w:t>
      </w:r>
    </w:p>
    <w:p w14:paraId="43BC4340" w14:textId="77777777" w:rsidR="00B27630" w:rsidRPr="00EA359E" w:rsidRDefault="00B27630" w:rsidP="00B71DD0">
      <w:pPr>
        <w:pStyle w:val="Listenabsatz"/>
        <w:spacing w:line="276" w:lineRule="auto"/>
        <w:ind w:left="284" w:right="141"/>
        <w:jc w:val="both"/>
        <w:rPr>
          <w:rFonts w:cs="Arial"/>
        </w:rPr>
      </w:pPr>
    </w:p>
    <w:p w14:paraId="64683251" w14:textId="08FEEFBC" w:rsidR="00F91FD6" w:rsidRDefault="00BB667B" w:rsidP="00EC71D9">
      <w:pPr>
        <w:pStyle w:val="berschrift2"/>
      </w:pPr>
      <w:r w:rsidRPr="00EA359E">
        <w:t>Pendlerpauschale</w:t>
      </w:r>
      <w:r w:rsidR="00D15A5E">
        <w:t xml:space="preserve"> und Pendlereuro</w:t>
      </w:r>
    </w:p>
    <w:p w14:paraId="3CE85E7D" w14:textId="3520079C" w:rsidR="00D15A5E" w:rsidRDefault="00D15A5E" w:rsidP="00D15A5E">
      <w:pPr>
        <w:rPr>
          <w:rFonts w:cs="Arial"/>
        </w:rPr>
      </w:pPr>
      <w:r w:rsidRPr="00EA359E">
        <w:rPr>
          <w:rFonts w:cs="Arial"/>
        </w:rPr>
        <w:t xml:space="preserve">Das </w:t>
      </w:r>
      <w:r w:rsidRPr="00133BB5">
        <w:rPr>
          <w:rFonts w:cs="Arial"/>
        </w:rPr>
        <w:t xml:space="preserve">Pendlerpauschale </w:t>
      </w:r>
      <w:r w:rsidR="00C02585">
        <w:rPr>
          <w:rFonts w:cs="Arial"/>
        </w:rPr>
        <w:t>bleibt</w:t>
      </w:r>
      <w:r w:rsidRPr="00EA359E">
        <w:rPr>
          <w:rFonts w:cs="Arial"/>
        </w:rPr>
        <w:t xml:space="preserve"> gegenüber dem Jahr 202</w:t>
      </w:r>
      <w:r>
        <w:rPr>
          <w:rFonts w:cs="Arial"/>
        </w:rPr>
        <w:t>5</w:t>
      </w:r>
      <w:r w:rsidRPr="00EA359E">
        <w:rPr>
          <w:rFonts w:cs="Arial"/>
        </w:rPr>
        <w:t xml:space="preserve"> unverändert.</w:t>
      </w:r>
    </w:p>
    <w:tbl>
      <w:tblPr>
        <w:tblW w:w="9351" w:type="dxa"/>
        <w:tblCellMar>
          <w:left w:w="70" w:type="dxa"/>
          <w:right w:w="70" w:type="dxa"/>
        </w:tblCellMar>
        <w:tblLook w:val="04A0" w:firstRow="1" w:lastRow="0" w:firstColumn="1" w:lastColumn="0" w:noHBand="0" w:noVBand="1"/>
      </w:tblPr>
      <w:tblGrid>
        <w:gridCol w:w="2547"/>
        <w:gridCol w:w="1463"/>
        <w:gridCol w:w="1857"/>
        <w:gridCol w:w="1783"/>
        <w:gridCol w:w="1701"/>
      </w:tblGrid>
      <w:tr w:rsidR="00F91FD6" w:rsidRPr="00F91FD6" w14:paraId="2C149D61" w14:textId="77777777" w:rsidTr="004419A0">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730A" w14:textId="77777777" w:rsidR="00F91FD6" w:rsidRPr="00F91FD6" w:rsidRDefault="00F91FD6" w:rsidP="00F91FD6">
            <w:pPr>
              <w:jc w:val="center"/>
              <w:rPr>
                <w:rFonts w:cs="Arial"/>
                <w:color w:val="000000"/>
                <w:lang w:val="de-DE"/>
              </w:rPr>
            </w:pPr>
            <w:r w:rsidRPr="00F91FD6">
              <w:rPr>
                <w:rFonts w:cs="Arial"/>
                <w:color w:val="000000"/>
                <w:lang w:val="de-DE"/>
              </w:rPr>
              <w:t> </w:t>
            </w:r>
          </w:p>
        </w:tc>
        <w:tc>
          <w:tcPr>
            <w:tcW w:w="3320"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05D122E0" w14:textId="77777777" w:rsidR="00F91FD6" w:rsidRPr="00F91FD6" w:rsidRDefault="00F91FD6" w:rsidP="00F91FD6">
            <w:pPr>
              <w:jc w:val="center"/>
              <w:rPr>
                <w:rFonts w:cs="Arial"/>
                <w:b/>
                <w:bCs/>
                <w:color w:val="000000"/>
                <w:lang w:val="de-DE"/>
              </w:rPr>
            </w:pPr>
            <w:r w:rsidRPr="00F91FD6">
              <w:rPr>
                <w:rFonts w:cs="Arial"/>
                <w:b/>
                <w:bCs/>
                <w:color w:val="000000"/>
                <w:lang w:val="de-DE"/>
              </w:rPr>
              <w:t>kleines Pendlerpauschale</w:t>
            </w:r>
          </w:p>
        </w:tc>
        <w:tc>
          <w:tcPr>
            <w:tcW w:w="3484" w:type="dxa"/>
            <w:gridSpan w:val="2"/>
            <w:tcBorders>
              <w:top w:val="single" w:sz="4" w:space="0" w:color="auto"/>
              <w:left w:val="nil"/>
              <w:bottom w:val="single" w:sz="4" w:space="0" w:color="auto"/>
              <w:right w:val="single" w:sz="4" w:space="0" w:color="auto"/>
            </w:tcBorders>
            <w:shd w:val="clear" w:color="auto" w:fill="B8CCE4" w:themeFill="accent1" w:themeFillTint="66"/>
            <w:noWrap/>
            <w:vAlign w:val="bottom"/>
            <w:hideMark/>
          </w:tcPr>
          <w:p w14:paraId="43338F7E" w14:textId="77777777" w:rsidR="00F91FD6" w:rsidRPr="00F91FD6" w:rsidRDefault="00F91FD6" w:rsidP="00F91FD6">
            <w:pPr>
              <w:jc w:val="center"/>
              <w:rPr>
                <w:rFonts w:cs="Arial"/>
                <w:b/>
                <w:bCs/>
                <w:color w:val="000000"/>
                <w:lang w:val="de-DE"/>
              </w:rPr>
            </w:pPr>
            <w:r w:rsidRPr="00F91FD6">
              <w:rPr>
                <w:rFonts w:cs="Arial"/>
                <w:b/>
                <w:bCs/>
                <w:color w:val="000000"/>
                <w:lang w:val="de-DE"/>
              </w:rPr>
              <w:t>großes Pendlerpauschale</w:t>
            </w:r>
          </w:p>
        </w:tc>
      </w:tr>
      <w:tr w:rsidR="00F91FD6" w:rsidRPr="00F91FD6" w14:paraId="6330D5D5" w14:textId="77777777" w:rsidTr="004419A0">
        <w:trPr>
          <w:trHeight w:val="360"/>
        </w:trPr>
        <w:tc>
          <w:tcPr>
            <w:tcW w:w="2547"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DE66C74" w14:textId="77777777" w:rsidR="00F91FD6" w:rsidRPr="00F91FD6" w:rsidRDefault="00F91FD6" w:rsidP="00F91FD6">
            <w:pPr>
              <w:jc w:val="center"/>
              <w:rPr>
                <w:rFonts w:cs="Arial"/>
                <w:color w:val="000000"/>
                <w:lang w:val="de-DE"/>
              </w:rPr>
            </w:pPr>
            <w:r w:rsidRPr="00F91FD6">
              <w:rPr>
                <w:rFonts w:cs="Arial"/>
                <w:color w:val="000000"/>
                <w:lang w:val="de-DE"/>
              </w:rPr>
              <w:t>Entfernung</w:t>
            </w:r>
          </w:p>
        </w:tc>
        <w:tc>
          <w:tcPr>
            <w:tcW w:w="1463" w:type="dxa"/>
            <w:tcBorders>
              <w:top w:val="nil"/>
              <w:left w:val="nil"/>
              <w:bottom w:val="single" w:sz="4" w:space="0" w:color="auto"/>
              <w:right w:val="single" w:sz="4" w:space="0" w:color="auto"/>
            </w:tcBorders>
            <w:shd w:val="clear" w:color="auto" w:fill="DBE5F1" w:themeFill="accent1" w:themeFillTint="33"/>
            <w:noWrap/>
            <w:vAlign w:val="bottom"/>
            <w:hideMark/>
          </w:tcPr>
          <w:p w14:paraId="7BDB6C4A" w14:textId="77777777" w:rsidR="00F91FD6" w:rsidRPr="00F91FD6" w:rsidRDefault="00F91FD6" w:rsidP="00F91FD6">
            <w:pPr>
              <w:jc w:val="center"/>
              <w:rPr>
                <w:rFonts w:cs="Arial"/>
                <w:color w:val="000000"/>
                <w:lang w:val="de-DE"/>
              </w:rPr>
            </w:pPr>
            <w:r w:rsidRPr="00F91FD6">
              <w:rPr>
                <w:rFonts w:cs="Arial"/>
                <w:color w:val="000000"/>
                <w:lang w:val="de-DE"/>
              </w:rPr>
              <w:t>jährlich</w:t>
            </w:r>
          </w:p>
        </w:tc>
        <w:tc>
          <w:tcPr>
            <w:tcW w:w="1857" w:type="dxa"/>
            <w:tcBorders>
              <w:top w:val="nil"/>
              <w:left w:val="nil"/>
              <w:bottom w:val="single" w:sz="4" w:space="0" w:color="auto"/>
              <w:right w:val="single" w:sz="4" w:space="0" w:color="auto"/>
            </w:tcBorders>
            <w:shd w:val="clear" w:color="auto" w:fill="DBE5F1" w:themeFill="accent1" w:themeFillTint="33"/>
            <w:noWrap/>
            <w:vAlign w:val="bottom"/>
            <w:hideMark/>
          </w:tcPr>
          <w:p w14:paraId="2BD63E08" w14:textId="77777777" w:rsidR="00F91FD6" w:rsidRPr="00F91FD6" w:rsidRDefault="00F91FD6" w:rsidP="00F91FD6">
            <w:pPr>
              <w:jc w:val="center"/>
              <w:rPr>
                <w:rFonts w:cs="Arial"/>
                <w:color w:val="000000"/>
                <w:lang w:val="de-DE"/>
              </w:rPr>
            </w:pPr>
            <w:r w:rsidRPr="00F91FD6">
              <w:rPr>
                <w:rFonts w:cs="Arial"/>
                <w:color w:val="000000"/>
                <w:lang w:val="de-DE"/>
              </w:rPr>
              <w:t>monatlich</w:t>
            </w:r>
          </w:p>
        </w:tc>
        <w:tc>
          <w:tcPr>
            <w:tcW w:w="1783" w:type="dxa"/>
            <w:tcBorders>
              <w:top w:val="nil"/>
              <w:left w:val="nil"/>
              <w:bottom w:val="single" w:sz="4" w:space="0" w:color="auto"/>
              <w:right w:val="single" w:sz="4" w:space="0" w:color="auto"/>
            </w:tcBorders>
            <w:shd w:val="clear" w:color="auto" w:fill="DBE5F1" w:themeFill="accent1" w:themeFillTint="33"/>
            <w:noWrap/>
            <w:vAlign w:val="bottom"/>
            <w:hideMark/>
          </w:tcPr>
          <w:p w14:paraId="55168927" w14:textId="77777777" w:rsidR="00F91FD6" w:rsidRPr="00F91FD6" w:rsidRDefault="00F91FD6" w:rsidP="00F91FD6">
            <w:pPr>
              <w:jc w:val="center"/>
              <w:rPr>
                <w:rFonts w:cs="Arial"/>
                <w:color w:val="000000"/>
                <w:lang w:val="de-DE"/>
              </w:rPr>
            </w:pPr>
            <w:r w:rsidRPr="00F91FD6">
              <w:rPr>
                <w:rFonts w:cs="Arial"/>
                <w:color w:val="000000"/>
                <w:lang w:val="de-DE"/>
              </w:rPr>
              <w:t>jährlich</w:t>
            </w:r>
          </w:p>
        </w:tc>
        <w:tc>
          <w:tcPr>
            <w:tcW w:w="1701" w:type="dxa"/>
            <w:tcBorders>
              <w:top w:val="nil"/>
              <w:left w:val="nil"/>
              <w:bottom w:val="single" w:sz="4" w:space="0" w:color="auto"/>
              <w:right w:val="single" w:sz="4" w:space="0" w:color="auto"/>
            </w:tcBorders>
            <w:shd w:val="clear" w:color="auto" w:fill="DBE5F1" w:themeFill="accent1" w:themeFillTint="33"/>
            <w:noWrap/>
            <w:vAlign w:val="bottom"/>
            <w:hideMark/>
          </w:tcPr>
          <w:p w14:paraId="5C988B9C" w14:textId="77777777" w:rsidR="00F91FD6" w:rsidRPr="00F91FD6" w:rsidRDefault="00F91FD6" w:rsidP="00F91FD6">
            <w:pPr>
              <w:jc w:val="center"/>
              <w:rPr>
                <w:rFonts w:cs="Arial"/>
                <w:color w:val="000000"/>
                <w:lang w:val="de-DE"/>
              </w:rPr>
            </w:pPr>
            <w:r w:rsidRPr="00F91FD6">
              <w:rPr>
                <w:rFonts w:cs="Arial"/>
                <w:color w:val="000000"/>
                <w:lang w:val="de-DE"/>
              </w:rPr>
              <w:t>monatlich</w:t>
            </w:r>
          </w:p>
        </w:tc>
      </w:tr>
      <w:tr w:rsidR="00F91FD6" w:rsidRPr="00F91FD6" w14:paraId="508F2434" w14:textId="77777777" w:rsidTr="00C575E2">
        <w:trPr>
          <w:trHeight w:val="315"/>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63883760" w14:textId="77777777" w:rsidR="00F91FD6" w:rsidRPr="00F91FD6" w:rsidRDefault="00F91FD6" w:rsidP="00F91FD6">
            <w:pPr>
              <w:jc w:val="center"/>
              <w:rPr>
                <w:rFonts w:cs="Arial"/>
                <w:color w:val="000000"/>
                <w:lang w:val="de-DE"/>
              </w:rPr>
            </w:pPr>
            <w:r w:rsidRPr="00F91FD6">
              <w:rPr>
                <w:rFonts w:cs="Arial"/>
                <w:color w:val="000000"/>
                <w:lang w:val="de-DE"/>
              </w:rPr>
              <w:t xml:space="preserve">2 km - 20 km </w:t>
            </w:r>
          </w:p>
        </w:tc>
        <w:tc>
          <w:tcPr>
            <w:tcW w:w="1463" w:type="dxa"/>
            <w:tcBorders>
              <w:top w:val="nil"/>
              <w:left w:val="nil"/>
              <w:bottom w:val="single" w:sz="4" w:space="0" w:color="auto"/>
              <w:right w:val="single" w:sz="4" w:space="0" w:color="auto"/>
            </w:tcBorders>
            <w:shd w:val="clear" w:color="auto" w:fill="auto"/>
            <w:noWrap/>
            <w:vAlign w:val="center"/>
            <w:hideMark/>
          </w:tcPr>
          <w:p w14:paraId="7BC14666" w14:textId="77777777" w:rsidR="00F91FD6" w:rsidRPr="00F91FD6" w:rsidRDefault="00F91FD6" w:rsidP="00F91FD6">
            <w:pPr>
              <w:jc w:val="center"/>
              <w:rPr>
                <w:rFonts w:cs="Arial"/>
                <w:color w:val="000000"/>
                <w:lang w:val="de-DE"/>
              </w:rPr>
            </w:pPr>
            <w:r w:rsidRPr="00F91FD6">
              <w:rPr>
                <w:rFonts w:cs="Arial"/>
                <w:color w:val="000000"/>
                <w:lang w:val="de-DE"/>
              </w:rPr>
              <w:t>Null</w:t>
            </w:r>
          </w:p>
        </w:tc>
        <w:tc>
          <w:tcPr>
            <w:tcW w:w="1857" w:type="dxa"/>
            <w:tcBorders>
              <w:top w:val="nil"/>
              <w:left w:val="nil"/>
              <w:bottom w:val="single" w:sz="4" w:space="0" w:color="auto"/>
              <w:right w:val="single" w:sz="4" w:space="0" w:color="auto"/>
            </w:tcBorders>
            <w:shd w:val="clear" w:color="auto" w:fill="auto"/>
            <w:noWrap/>
            <w:vAlign w:val="center"/>
            <w:hideMark/>
          </w:tcPr>
          <w:p w14:paraId="40B69FCE" w14:textId="77777777" w:rsidR="00F91FD6" w:rsidRPr="00F91FD6" w:rsidRDefault="00F91FD6" w:rsidP="00F91FD6">
            <w:pPr>
              <w:jc w:val="center"/>
              <w:rPr>
                <w:rFonts w:cs="Arial"/>
                <w:color w:val="000000"/>
                <w:lang w:val="de-DE"/>
              </w:rPr>
            </w:pPr>
            <w:r w:rsidRPr="00F91FD6">
              <w:rPr>
                <w:rFonts w:cs="Arial"/>
                <w:color w:val="000000"/>
                <w:lang w:val="de-DE"/>
              </w:rPr>
              <w:t>Null</w:t>
            </w:r>
          </w:p>
        </w:tc>
        <w:tc>
          <w:tcPr>
            <w:tcW w:w="1783" w:type="dxa"/>
            <w:tcBorders>
              <w:top w:val="nil"/>
              <w:left w:val="nil"/>
              <w:bottom w:val="single" w:sz="4" w:space="0" w:color="auto"/>
              <w:right w:val="single" w:sz="4" w:space="0" w:color="auto"/>
            </w:tcBorders>
            <w:shd w:val="clear" w:color="auto" w:fill="auto"/>
            <w:noWrap/>
            <w:vAlign w:val="center"/>
            <w:hideMark/>
          </w:tcPr>
          <w:p w14:paraId="391D7947" w14:textId="77777777" w:rsidR="00F91FD6" w:rsidRPr="00F91FD6" w:rsidRDefault="00F91FD6" w:rsidP="00F91FD6">
            <w:pPr>
              <w:jc w:val="center"/>
              <w:rPr>
                <w:rFonts w:cs="Arial"/>
                <w:color w:val="000000"/>
                <w:lang w:val="de-DE"/>
              </w:rPr>
            </w:pPr>
            <w:r w:rsidRPr="00F91FD6">
              <w:rPr>
                <w:rFonts w:cs="Arial"/>
                <w:color w:val="000000"/>
                <w:lang w:val="de-DE"/>
              </w:rPr>
              <w:t xml:space="preserve">  € 372</w:t>
            </w:r>
          </w:p>
        </w:tc>
        <w:tc>
          <w:tcPr>
            <w:tcW w:w="1701" w:type="dxa"/>
            <w:tcBorders>
              <w:top w:val="nil"/>
              <w:left w:val="nil"/>
              <w:bottom w:val="single" w:sz="4" w:space="0" w:color="auto"/>
              <w:right w:val="single" w:sz="4" w:space="0" w:color="auto"/>
            </w:tcBorders>
            <w:shd w:val="clear" w:color="auto" w:fill="auto"/>
            <w:noWrap/>
            <w:vAlign w:val="center"/>
            <w:hideMark/>
          </w:tcPr>
          <w:p w14:paraId="3AC271A9" w14:textId="77777777" w:rsidR="00F91FD6" w:rsidRPr="00F91FD6" w:rsidRDefault="00F91FD6" w:rsidP="00F91FD6">
            <w:pPr>
              <w:jc w:val="center"/>
              <w:rPr>
                <w:rFonts w:cs="Arial"/>
                <w:color w:val="000000"/>
                <w:lang w:val="de-DE"/>
              </w:rPr>
            </w:pPr>
            <w:r w:rsidRPr="00F91FD6">
              <w:rPr>
                <w:rFonts w:cs="Arial"/>
                <w:color w:val="000000"/>
                <w:lang w:val="de-DE"/>
              </w:rPr>
              <w:t xml:space="preserve"> € 31</w:t>
            </w:r>
          </w:p>
        </w:tc>
      </w:tr>
      <w:tr w:rsidR="00F91FD6" w:rsidRPr="00F91FD6" w14:paraId="2077CAB2" w14:textId="77777777" w:rsidTr="004419A0">
        <w:trPr>
          <w:trHeight w:val="330"/>
        </w:trPr>
        <w:tc>
          <w:tcPr>
            <w:tcW w:w="2547"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1E6CC77E" w14:textId="77777777" w:rsidR="00F91FD6" w:rsidRPr="00F91FD6" w:rsidRDefault="00F91FD6" w:rsidP="00F91FD6">
            <w:pPr>
              <w:jc w:val="center"/>
              <w:rPr>
                <w:rFonts w:cs="Arial"/>
                <w:color w:val="000000"/>
                <w:lang w:val="de-DE"/>
              </w:rPr>
            </w:pPr>
            <w:r w:rsidRPr="00F91FD6">
              <w:rPr>
                <w:rFonts w:cs="Arial"/>
                <w:color w:val="000000"/>
                <w:lang w:val="de-DE"/>
              </w:rPr>
              <w:t>20 km - 40 km</w:t>
            </w:r>
          </w:p>
        </w:tc>
        <w:tc>
          <w:tcPr>
            <w:tcW w:w="1463" w:type="dxa"/>
            <w:tcBorders>
              <w:top w:val="nil"/>
              <w:left w:val="nil"/>
              <w:bottom w:val="single" w:sz="4" w:space="0" w:color="auto"/>
              <w:right w:val="single" w:sz="4" w:space="0" w:color="auto"/>
            </w:tcBorders>
            <w:shd w:val="clear" w:color="auto" w:fill="DBE5F1" w:themeFill="accent1" w:themeFillTint="33"/>
            <w:noWrap/>
            <w:vAlign w:val="center"/>
            <w:hideMark/>
          </w:tcPr>
          <w:p w14:paraId="4E2DF621" w14:textId="77777777" w:rsidR="00F91FD6" w:rsidRPr="00F91FD6" w:rsidRDefault="00F91FD6" w:rsidP="00F91FD6">
            <w:pPr>
              <w:jc w:val="center"/>
              <w:rPr>
                <w:rFonts w:cs="Arial"/>
                <w:color w:val="000000"/>
                <w:lang w:val="de-DE"/>
              </w:rPr>
            </w:pPr>
            <w:r w:rsidRPr="00F91FD6">
              <w:rPr>
                <w:rFonts w:cs="Arial"/>
                <w:color w:val="000000"/>
                <w:lang w:val="de-DE"/>
              </w:rPr>
              <w:t xml:space="preserve">  € 696</w:t>
            </w:r>
          </w:p>
        </w:tc>
        <w:tc>
          <w:tcPr>
            <w:tcW w:w="1857" w:type="dxa"/>
            <w:tcBorders>
              <w:top w:val="nil"/>
              <w:left w:val="nil"/>
              <w:bottom w:val="single" w:sz="4" w:space="0" w:color="auto"/>
              <w:right w:val="single" w:sz="4" w:space="0" w:color="auto"/>
            </w:tcBorders>
            <w:shd w:val="clear" w:color="auto" w:fill="DBE5F1" w:themeFill="accent1" w:themeFillTint="33"/>
            <w:noWrap/>
            <w:vAlign w:val="center"/>
            <w:hideMark/>
          </w:tcPr>
          <w:p w14:paraId="54482328" w14:textId="77777777" w:rsidR="00F91FD6" w:rsidRPr="00F91FD6" w:rsidRDefault="00F91FD6" w:rsidP="00F91FD6">
            <w:pPr>
              <w:jc w:val="center"/>
              <w:rPr>
                <w:rFonts w:cs="Arial"/>
                <w:color w:val="000000"/>
                <w:lang w:val="de-DE"/>
              </w:rPr>
            </w:pPr>
            <w:r w:rsidRPr="00F91FD6">
              <w:rPr>
                <w:rFonts w:cs="Arial"/>
                <w:color w:val="000000"/>
                <w:lang w:val="de-DE"/>
              </w:rPr>
              <w:t xml:space="preserve"> € 58</w:t>
            </w:r>
          </w:p>
        </w:tc>
        <w:tc>
          <w:tcPr>
            <w:tcW w:w="1783" w:type="dxa"/>
            <w:tcBorders>
              <w:top w:val="nil"/>
              <w:left w:val="nil"/>
              <w:bottom w:val="single" w:sz="4" w:space="0" w:color="auto"/>
              <w:right w:val="single" w:sz="4" w:space="0" w:color="auto"/>
            </w:tcBorders>
            <w:shd w:val="clear" w:color="auto" w:fill="DBE5F1" w:themeFill="accent1" w:themeFillTint="33"/>
            <w:noWrap/>
            <w:vAlign w:val="center"/>
            <w:hideMark/>
          </w:tcPr>
          <w:p w14:paraId="6E79A732" w14:textId="77777777" w:rsidR="00F91FD6" w:rsidRPr="00F91FD6" w:rsidRDefault="00F91FD6" w:rsidP="00F91FD6">
            <w:pPr>
              <w:jc w:val="center"/>
              <w:rPr>
                <w:rFonts w:cs="Arial"/>
                <w:color w:val="000000"/>
                <w:lang w:val="de-DE"/>
              </w:rPr>
            </w:pPr>
            <w:r w:rsidRPr="00F91FD6">
              <w:rPr>
                <w:rFonts w:cs="Arial"/>
                <w:color w:val="000000"/>
                <w:lang w:val="de-DE"/>
              </w:rPr>
              <w:t>€ 1.476</w:t>
            </w:r>
          </w:p>
        </w:tc>
        <w:tc>
          <w:tcPr>
            <w:tcW w:w="1701" w:type="dxa"/>
            <w:tcBorders>
              <w:top w:val="nil"/>
              <w:left w:val="nil"/>
              <w:bottom w:val="single" w:sz="4" w:space="0" w:color="auto"/>
              <w:right w:val="single" w:sz="4" w:space="0" w:color="auto"/>
            </w:tcBorders>
            <w:shd w:val="clear" w:color="auto" w:fill="DBE5F1" w:themeFill="accent1" w:themeFillTint="33"/>
            <w:noWrap/>
            <w:vAlign w:val="center"/>
            <w:hideMark/>
          </w:tcPr>
          <w:p w14:paraId="4C10180F" w14:textId="77777777" w:rsidR="00F91FD6" w:rsidRPr="00F91FD6" w:rsidRDefault="00F91FD6" w:rsidP="00F91FD6">
            <w:pPr>
              <w:jc w:val="center"/>
              <w:rPr>
                <w:rFonts w:cs="Arial"/>
                <w:color w:val="000000"/>
                <w:lang w:val="de-DE"/>
              </w:rPr>
            </w:pPr>
            <w:r w:rsidRPr="00F91FD6">
              <w:rPr>
                <w:rFonts w:cs="Arial"/>
                <w:color w:val="000000"/>
                <w:lang w:val="de-DE"/>
              </w:rPr>
              <w:t>€ 123</w:t>
            </w:r>
          </w:p>
        </w:tc>
      </w:tr>
      <w:tr w:rsidR="00F91FD6" w:rsidRPr="00F91FD6" w14:paraId="15E28AE2" w14:textId="77777777" w:rsidTr="00C575E2">
        <w:trPr>
          <w:trHeight w:val="360"/>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2EA7E0F0" w14:textId="77777777" w:rsidR="00F91FD6" w:rsidRPr="00F91FD6" w:rsidRDefault="00F91FD6" w:rsidP="00F91FD6">
            <w:pPr>
              <w:jc w:val="center"/>
              <w:rPr>
                <w:rFonts w:cs="Arial"/>
                <w:color w:val="000000"/>
                <w:lang w:val="de-DE"/>
              </w:rPr>
            </w:pPr>
            <w:r w:rsidRPr="00F91FD6">
              <w:rPr>
                <w:rFonts w:cs="Arial"/>
                <w:color w:val="000000"/>
                <w:lang w:val="de-DE"/>
              </w:rPr>
              <w:t>40 km - 60 km</w:t>
            </w:r>
          </w:p>
        </w:tc>
        <w:tc>
          <w:tcPr>
            <w:tcW w:w="1463" w:type="dxa"/>
            <w:tcBorders>
              <w:top w:val="nil"/>
              <w:left w:val="nil"/>
              <w:bottom w:val="single" w:sz="4" w:space="0" w:color="auto"/>
              <w:right w:val="single" w:sz="4" w:space="0" w:color="auto"/>
            </w:tcBorders>
            <w:shd w:val="clear" w:color="auto" w:fill="auto"/>
            <w:noWrap/>
            <w:vAlign w:val="center"/>
            <w:hideMark/>
          </w:tcPr>
          <w:p w14:paraId="796D1B98" w14:textId="77777777" w:rsidR="00F91FD6" w:rsidRPr="00F91FD6" w:rsidRDefault="00F91FD6" w:rsidP="00F91FD6">
            <w:pPr>
              <w:jc w:val="center"/>
              <w:rPr>
                <w:rFonts w:cs="Arial"/>
                <w:color w:val="000000"/>
                <w:lang w:val="de-DE"/>
              </w:rPr>
            </w:pPr>
            <w:r w:rsidRPr="00F91FD6">
              <w:rPr>
                <w:rFonts w:cs="Arial"/>
                <w:color w:val="000000"/>
                <w:lang w:val="de-DE"/>
              </w:rPr>
              <w:t>€ 1.356</w:t>
            </w:r>
          </w:p>
        </w:tc>
        <w:tc>
          <w:tcPr>
            <w:tcW w:w="1857" w:type="dxa"/>
            <w:tcBorders>
              <w:top w:val="nil"/>
              <w:left w:val="nil"/>
              <w:bottom w:val="single" w:sz="4" w:space="0" w:color="auto"/>
              <w:right w:val="single" w:sz="4" w:space="0" w:color="auto"/>
            </w:tcBorders>
            <w:shd w:val="clear" w:color="auto" w:fill="auto"/>
            <w:noWrap/>
            <w:vAlign w:val="center"/>
            <w:hideMark/>
          </w:tcPr>
          <w:p w14:paraId="69C89033" w14:textId="77777777" w:rsidR="00F91FD6" w:rsidRPr="00F91FD6" w:rsidRDefault="00F91FD6" w:rsidP="00F91FD6">
            <w:pPr>
              <w:jc w:val="center"/>
              <w:rPr>
                <w:rFonts w:cs="Arial"/>
                <w:color w:val="000000"/>
                <w:lang w:val="de-DE"/>
              </w:rPr>
            </w:pPr>
            <w:r w:rsidRPr="00F91FD6">
              <w:rPr>
                <w:rFonts w:cs="Arial"/>
                <w:color w:val="000000"/>
                <w:lang w:val="de-DE"/>
              </w:rPr>
              <w:t>€ 113</w:t>
            </w:r>
          </w:p>
        </w:tc>
        <w:tc>
          <w:tcPr>
            <w:tcW w:w="1783" w:type="dxa"/>
            <w:tcBorders>
              <w:top w:val="nil"/>
              <w:left w:val="nil"/>
              <w:bottom w:val="single" w:sz="4" w:space="0" w:color="auto"/>
              <w:right w:val="single" w:sz="4" w:space="0" w:color="auto"/>
            </w:tcBorders>
            <w:shd w:val="clear" w:color="auto" w:fill="auto"/>
            <w:noWrap/>
            <w:vAlign w:val="center"/>
            <w:hideMark/>
          </w:tcPr>
          <w:p w14:paraId="4E50E9A4" w14:textId="77777777" w:rsidR="00F91FD6" w:rsidRPr="00F91FD6" w:rsidRDefault="00F91FD6" w:rsidP="00F91FD6">
            <w:pPr>
              <w:jc w:val="center"/>
              <w:rPr>
                <w:rFonts w:cs="Arial"/>
                <w:color w:val="000000"/>
                <w:lang w:val="de-DE"/>
              </w:rPr>
            </w:pPr>
            <w:r w:rsidRPr="00F91FD6">
              <w:rPr>
                <w:rFonts w:cs="Arial"/>
                <w:color w:val="000000"/>
                <w:lang w:val="de-DE"/>
              </w:rPr>
              <w:t>€ 2.568</w:t>
            </w:r>
          </w:p>
        </w:tc>
        <w:tc>
          <w:tcPr>
            <w:tcW w:w="1701" w:type="dxa"/>
            <w:tcBorders>
              <w:top w:val="nil"/>
              <w:left w:val="nil"/>
              <w:bottom w:val="single" w:sz="4" w:space="0" w:color="auto"/>
              <w:right w:val="single" w:sz="4" w:space="0" w:color="auto"/>
            </w:tcBorders>
            <w:shd w:val="clear" w:color="auto" w:fill="auto"/>
            <w:noWrap/>
            <w:vAlign w:val="center"/>
            <w:hideMark/>
          </w:tcPr>
          <w:p w14:paraId="11200EC0" w14:textId="77777777" w:rsidR="00F91FD6" w:rsidRPr="00F91FD6" w:rsidRDefault="00F91FD6" w:rsidP="00F91FD6">
            <w:pPr>
              <w:jc w:val="center"/>
              <w:rPr>
                <w:rFonts w:cs="Arial"/>
                <w:color w:val="000000"/>
                <w:lang w:val="de-DE"/>
              </w:rPr>
            </w:pPr>
            <w:r w:rsidRPr="00F91FD6">
              <w:rPr>
                <w:rFonts w:cs="Arial"/>
                <w:color w:val="000000"/>
                <w:lang w:val="de-DE"/>
              </w:rPr>
              <w:t>€ 214</w:t>
            </w:r>
          </w:p>
        </w:tc>
      </w:tr>
      <w:tr w:rsidR="00F91FD6" w:rsidRPr="00F91FD6" w14:paraId="21C09BF4" w14:textId="77777777" w:rsidTr="004419A0">
        <w:trPr>
          <w:trHeight w:val="300"/>
        </w:trPr>
        <w:tc>
          <w:tcPr>
            <w:tcW w:w="2547"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EF6BD3F" w14:textId="77777777" w:rsidR="00F91FD6" w:rsidRPr="00F91FD6" w:rsidRDefault="00F91FD6" w:rsidP="00F91FD6">
            <w:pPr>
              <w:jc w:val="center"/>
              <w:rPr>
                <w:rFonts w:cs="Arial"/>
                <w:color w:val="000000"/>
                <w:lang w:val="de-DE"/>
              </w:rPr>
            </w:pPr>
            <w:r w:rsidRPr="00F91FD6">
              <w:rPr>
                <w:rFonts w:cs="Arial"/>
                <w:color w:val="000000"/>
                <w:lang w:val="de-DE"/>
              </w:rPr>
              <w:t xml:space="preserve">über 60 km </w:t>
            </w:r>
          </w:p>
        </w:tc>
        <w:tc>
          <w:tcPr>
            <w:tcW w:w="1463" w:type="dxa"/>
            <w:tcBorders>
              <w:top w:val="nil"/>
              <w:left w:val="nil"/>
              <w:bottom w:val="single" w:sz="4" w:space="0" w:color="auto"/>
              <w:right w:val="single" w:sz="4" w:space="0" w:color="auto"/>
            </w:tcBorders>
            <w:shd w:val="clear" w:color="auto" w:fill="DBE5F1" w:themeFill="accent1" w:themeFillTint="33"/>
            <w:noWrap/>
            <w:vAlign w:val="center"/>
            <w:hideMark/>
          </w:tcPr>
          <w:p w14:paraId="4AC6D5C1" w14:textId="77777777" w:rsidR="00F91FD6" w:rsidRPr="00F91FD6" w:rsidRDefault="00F91FD6" w:rsidP="00F91FD6">
            <w:pPr>
              <w:jc w:val="center"/>
              <w:rPr>
                <w:rFonts w:cs="Arial"/>
                <w:color w:val="000000"/>
                <w:lang w:val="de-DE"/>
              </w:rPr>
            </w:pPr>
            <w:r w:rsidRPr="00F91FD6">
              <w:rPr>
                <w:rFonts w:cs="Arial"/>
                <w:color w:val="000000"/>
                <w:lang w:val="de-DE"/>
              </w:rPr>
              <w:t>€ 2.016</w:t>
            </w:r>
          </w:p>
        </w:tc>
        <w:tc>
          <w:tcPr>
            <w:tcW w:w="1857" w:type="dxa"/>
            <w:tcBorders>
              <w:top w:val="nil"/>
              <w:left w:val="nil"/>
              <w:bottom w:val="single" w:sz="4" w:space="0" w:color="auto"/>
              <w:right w:val="single" w:sz="4" w:space="0" w:color="auto"/>
            </w:tcBorders>
            <w:shd w:val="clear" w:color="auto" w:fill="DBE5F1" w:themeFill="accent1" w:themeFillTint="33"/>
            <w:noWrap/>
            <w:vAlign w:val="center"/>
            <w:hideMark/>
          </w:tcPr>
          <w:p w14:paraId="49032BF9" w14:textId="77777777" w:rsidR="00F91FD6" w:rsidRPr="00F91FD6" w:rsidRDefault="00F91FD6" w:rsidP="00F91FD6">
            <w:pPr>
              <w:jc w:val="center"/>
              <w:rPr>
                <w:rFonts w:cs="Arial"/>
                <w:color w:val="000000"/>
                <w:lang w:val="de-DE"/>
              </w:rPr>
            </w:pPr>
            <w:r w:rsidRPr="00F91FD6">
              <w:rPr>
                <w:rFonts w:cs="Arial"/>
                <w:color w:val="000000"/>
                <w:lang w:val="de-DE"/>
              </w:rPr>
              <w:t>€ 168</w:t>
            </w:r>
          </w:p>
        </w:tc>
        <w:tc>
          <w:tcPr>
            <w:tcW w:w="1783" w:type="dxa"/>
            <w:tcBorders>
              <w:top w:val="nil"/>
              <w:left w:val="nil"/>
              <w:bottom w:val="single" w:sz="4" w:space="0" w:color="auto"/>
              <w:right w:val="single" w:sz="4" w:space="0" w:color="auto"/>
            </w:tcBorders>
            <w:shd w:val="clear" w:color="auto" w:fill="DBE5F1" w:themeFill="accent1" w:themeFillTint="33"/>
            <w:noWrap/>
            <w:vAlign w:val="center"/>
            <w:hideMark/>
          </w:tcPr>
          <w:p w14:paraId="19BAC7A6" w14:textId="77777777" w:rsidR="00F91FD6" w:rsidRPr="00F91FD6" w:rsidRDefault="00F91FD6" w:rsidP="00F91FD6">
            <w:pPr>
              <w:jc w:val="center"/>
              <w:rPr>
                <w:rFonts w:cs="Arial"/>
                <w:color w:val="000000"/>
                <w:lang w:val="de-DE"/>
              </w:rPr>
            </w:pPr>
            <w:r w:rsidRPr="00F91FD6">
              <w:rPr>
                <w:rFonts w:cs="Arial"/>
                <w:color w:val="000000"/>
                <w:lang w:val="de-DE"/>
              </w:rPr>
              <w:t>€ 3.672</w:t>
            </w:r>
          </w:p>
        </w:tc>
        <w:tc>
          <w:tcPr>
            <w:tcW w:w="1701" w:type="dxa"/>
            <w:tcBorders>
              <w:top w:val="nil"/>
              <w:left w:val="nil"/>
              <w:bottom w:val="single" w:sz="4" w:space="0" w:color="auto"/>
              <w:right w:val="single" w:sz="4" w:space="0" w:color="auto"/>
            </w:tcBorders>
            <w:shd w:val="clear" w:color="auto" w:fill="DBE5F1" w:themeFill="accent1" w:themeFillTint="33"/>
            <w:noWrap/>
            <w:vAlign w:val="center"/>
            <w:hideMark/>
          </w:tcPr>
          <w:p w14:paraId="2D89FD21" w14:textId="77777777" w:rsidR="00F91FD6" w:rsidRPr="00F91FD6" w:rsidRDefault="00F91FD6" w:rsidP="00F91FD6">
            <w:pPr>
              <w:jc w:val="center"/>
              <w:rPr>
                <w:rFonts w:cs="Arial"/>
                <w:color w:val="000000"/>
                <w:lang w:val="de-DE"/>
              </w:rPr>
            </w:pPr>
            <w:r w:rsidRPr="00F91FD6">
              <w:rPr>
                <w:rFonts w:cs="Arial"/>
                <w:color w:val="000000"/>
                <w:lang w:val="de-DE"/>
              </w:rPr>
              <w:t>€ 306</w:t>
            </w:r>
          </w:p>
        </w:tc>
      </w:tr>
    </w:tbl>
    <w:p w14:paraId="04253568" w14:textId="77777777" w:rsidR="00D15A5E" w:rsidRDefault="00D15A5E" w:rsidP="00F1173A"/>
    <w:p w14:paraId="7B1845E5" w14:textId="2BC20818" w:rsidR="000F213E" w:rsidRDefault="000F213E" w:rsidP="001D6520">
      <w:pPr>
        <w:spacing w:line="276" w:lineRule="auto"/>
        <w:ind w:right="-143"/>
        <w:rPr>
          <w:rFonts w:cs="Arial"/>
          <w:color w:val="000000"/>
        </w:rPr>
      </w:pPr>
      <w:r>
        <w:rPr>
          <w:rFonts w:cs="Arial"/>
          <w:color w:val="000000"/>
        </w:rPr>
        <w:t xml:space="preserve">Aufgrund der Erhöhung der Ticketpreise wird der </w:t>
      </w:r>
      <w:r w:rsidR="00F54A4F" w:rsidRPr="00133BB5">
        <w:rPr>
          <w:rFonts w:cs="Arial"/>
          <w:b/>
          <w:bCs/>
        </w:rPr>
        <w:t>Pendlereuro</w:t>
      </w:r>
      <w:r w:rsidR="00CD79F1" w:rsidRPr="00133BB5">
        <w:rPr>
          <w:rFonts w:cs="Arial"/>
          <w:b/>
          <w:bCs/>
        </w:rPr>
        <w:t xml:space="preserve"> </w:t>
      </w:r>
      <w:r w:rsidR="00D15A5E">
        <w:rPr>
          <w:rFonts w:cs="Arial"/>
          <w:b/>
          <w:bCs/>
          <w:color w:val="000000"/>
        </w:rPr>
        <w:t xml:space="preserve">auf </w:t>
      </w:r>
      <w:r w:rsidR="00CD79F1" w:rsidRPr="000F213E">
        <w:rPr>
          <w:rFonts w:cs="Arial"/>
          <w:b/>
          <w:bCs/>
          <w:color w:val="000000"/>
        </w:rPr>
        <w:t xml:space="preserve">€ </w:t>
      </w:r>
      <w:r w:rsidRPr="000F213E">
        <w:rPr>
          <w:rFonts w:cs="Arial"/>
          <w:b/>
          <w:bCs/>
          <w:color w:val="000000"/>
        </w:rPr>
        <w:t>6</w:t>
      </w:r>
      <w:r w:rsidR="00CD79F1" w:rsidRPr="00EA359E">
        <w:rPr>
          <w:rFonts w:cs="Arial"/>
          <w:color w:val="000000"/>
        </w:rPr>
        <w:t xml:space="preserve"> </w:t>
      </w:r>
      <w:r w:rsidR="00D15A5E">
        <w:rPr>
          <w:rFonts w:cs="Arial"/>
          <w:color w:val="000000"/>
        </w:rPr>
        <w:t xml:space="preserve">(bisher € 2) </w:t>
      </w:r>
      <w:r w:rsidR="00CD79F1" w:rsidRPr="00EA359E">
        <w:rPr>
          <w:rFonts w:cs="Arial"/>
          <w:color w:val="000000"/>
        </w:rPr>
        <w:t xml:space="preserve">pro Jahr und Kilometer der einfachen Fahrtstrecke </w:t>
      </w:r>
      <w:r w:rsidRPr="00D15A5E">
        <w:rPr>
          <w:rFonts w:cs="Arial"/>
          <w:b/>
          <w:bCs/>
          <w:color w:val="000000"/>
        </w:rPr>
        <w:t>erhöht</w:t>
      </w:r>
      <w:r>
        <w:rPr>
          <w:rFonts w:cs="Arial"/>
          <w:color w:val="000000"/>
        </w:rPr>
        <w:t>.</w:t>
      </w:r>
    </w:p>
    <w:p w14:paraId="0C5D3982" w14:textId="77777777" w:rsidR="000F213E" w:rsidRDefault="000F213E" w:rsidP="001D6520">
      <w:pPr>
        <w:spacing w:line="276" w:lineRule="auto"/>
        <w:ind w:right="-143"/>
        <w:rPr>
          <w:rFonts w:cs="Arial"/>
          <w:color w:val="000000"/>
        </w:rPr>
      </w:pPr>
    </w:p>
    <w:p w14:paraId="1EFCBB7F" w14:textId="77777777" w:rsidR="00F91FD6" w:rsidRDefault="00845D54" w:rsidP="001D6520">
      <w:pPr>
        <w:spacing w:line="276" w:lineRule="auto"/>
        <w:ind w:right="-143"/>
        <w:rPr>
          <w:rFonts w:cs="Arial"/>
          <w:color w:val="000000"/>
        </w:rPr>
      </w:pPr>
      <w:r w:rsidRPr="00EA359E">
        <w:rPr>
          <w:rFonts w:cs="Arial"/>
          <w:color w:val="000000"/>
        </w:rPr>
        <w:t xml:space="preserve">Wird </w:t>
      </w:r>
      <w:r w:rsidR="00D15A5E">
        <w:rPr>
          <w:rFonts w:cs="Arial"/>
          <w:color w:val="000000"/>
        </w:rPr>
        <w:t>bei</w:t>
      </w:r>
      <w:r w:rsidRPr="00EA359E">
        <w:rPr>
          <w:rFonts w:cs="Arial"/>
          <w:color w:val="000000"/>
        </w:rPr>
        <w:t xml:space="preserve"> Teilzeit- und Telearbeit</w:t>
      </w:r>
      <w:r w:rsidR="0046550F">
        <w:rPr>
          <w:rFonts w:cs="Arial"/>
          <w:color w:val="C00000"/>
        </w:rPr>
        <w:t xml:space="preserve"> </w:t>
      </w:r>
      <w:r w:rsidRPr="00EA359E">
        <w:rPr>
          <w:rFonts w:cs="Arial"/>
          <w:color w:val="000000"/>
        </w:rPr>
        <w:t>nicht täglich</w:t>
      </w:r>
      <w:r w:rsidR="00B90414">
        <w:rPr>
          <w:rFonts w:cs="Arial"/>
          <w:color w:val="C00000"/>
        </w:rPr>
        <w:t xml:space="preserve"> </w:t>
      </w:r>
      <w:r w:rsidRPr="00EA359E">
        <w:rPr>
          <w:rFonts w:cs="Arial"/>
          <w:color w:val="000000"/>
        </w:rPr>
        <w:t>der Arbeitsweg angetreten, kommt es zur aliquoten Kürzung des Pendlerpauschales.</w:t>
      </w:r>
    </w:p>
    <w:tbl>
      <w:tblPr>
        <w:tblW w:w="9351" w:type="dxa"/>
        <w:tblCellMar>
          <w:left w:w="70" w:type="dxa"/>
          <w:right w:w="70" w:type="dxa"/>
        </w:tblCellMar>
        <w:tblLook w:val="04A0" w:firstRow="1" w:lastRow="0" w:firstColumn="1" w:lastColumn="0" w:noHBand="0" w:noVBand="1"/>
      </w:tblPr>
      <w:tblGrid>
        <w:gridCol w:w="4815"/>
        <w:gridCol w:w="1720"/>
        <w:gridCol w:w="1540"/>
        <w:gridCol w:w="1276"/>
      </w:tblGrid>
      <w:tr w:rsidR="00F91FD6" w:rsidRPr="00F91FD6" w14:paraId="4FB7F65C" w14:textId="77777777" w:rsidTr="004419A0">
        <w:trPr>
          <w:trHeight w:val="315"/>
        </w:trPr>
        <w:tc>
          <w:tcPr>
            <w:tcW w:w="48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B1C8BB" w14:textId="77777777" w:rsidR="00F91FD6" w:rsidRPr="00F91FD6" w:rsidRDefault="00F91FD6" w:rsidP="00F91FD6">
            <w:pPr>
              <w:jc w:val="center"/>
              <w:rPr>
                <w:rFonts w:cs="Arial"/>
                <w:color w:val="000000"/>
                <w:lang w:val="de-DE"/>
              </w:rPr>
            </w:pPr>
            <w:r w:rsidRPr="00F91FD6">
              <w:rPr>
                <w:rFonts w:cs="Arial"/>
                <w:color w:val="000000"/>
                <w:lang w:val="de-DE"/>
              </w:rPr>
              <w:t>Anzahl Fahrten / Monat zum Arbeitsplatz</w:t>
            </w:r>
          </w:p>
        </w:tc>
        <w:tc>
          <w:tcPr>
            <w:tcW w:w="172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F6EA6B8" w14:textId="77777777" w:rsidR="00F91FD6" w:rsidRPr="00F91FD6" w:rsidRDefault="00F91FD6" w:rsidP="00F91FD6">
            <w:pPr>
              <w:jc w:val="center"/>
              <w:rPr>
                <w:rFonts w:cs="Arial"/>
                <w:color w:val="000000"/>
                <w:lang w:val="de-DE"/>
              </w:rPr>
            </w:pPr>
            <w:r w:rsidRPr="00F91FD6">
              <w:rPr>
                <w:rFonts w:cs="Arial"/>
                <w:color w:val="000000"/>
                <w:lang w:val="de-DE"/>
              </w:rPr>
              <w:t>4 bis 7 Tage</w:t>
            </w:r>
          </w:p>
        </w:tc>
        <w:tc>
          <w:tcPr>
            <w:tcW w:w="15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2FEB330" w14:textId="77777777" w:rsidR="00F91FD6" w:rsidRPr="00F91FD6" w:rsidRDefault="00F91FD6" w:rsidP="00F91FD6">
            <w:pPr>
              <w:jc w:val="center"/>
              <w:rPr>
                <w:rFonts w:cs="Arial"/>
                <w:color w:val="000000"/>
                <w:lang w:val="de-DE"/>
              </w:rPr>
            </w:pPr>
            <w:r w:rsidRPr="00F91FD6">
              <w:rPr>
                <w:rFonts w:cs="Arial"/>
                <w:color w:val="000000"/>
                <w:lang w:val="de-DE"/>
              </w:rPr>
              <w:t>8 bis 10 Tage</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02D2A2E" w14:textId="48356954" w:rsidR="00F91FD6" w:rsidRPr="00F91FD6" w:rsidRDefault="00115A93" w:rsidP="00F91FD6">
            <w:pPr>
              <w:jc w:val="center"/>
              <w:rPr>
                <w:rFonts w:cs="Arial"/>
                <w:color w:val="000000"/>
                <w:lang w:val="de-DE"/>
              </w:rPr>
            </w:pPr>
            <w:r>
              <w:rPr>
                <w:rFonts w:cs="Arial"/>
                <w:color w:val="000000"/>
                <w:lang w:val="de-DE"/>
              </w:rPr>
              <w:t>≥</w:t>
            </w:r>
            <w:r w:rsidR="00F91FD6" w:rsidRPr="00F91FD6">
              <w:rPr>
                <w:rFonts w:cs="Arial"/>
                <w:color w:val="000000"/>
                <w:lang w:val="de-DE"/>
              </w:rPr>
              <w:t xml:space="preserve"> 11 Tage</w:t>
            </w:r>
          </w:p>
        </w:tc>
      </w:tr>
      <w:tr w:rsidR="00F91FD6" w:rsidRPr="00F91FD6" w14:paraId="019E7858" w14:textId="77777777" w:rsidTr="00C575E2">
        <w:trPr>
          <w:trHeight w:val="375"/>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047B" w14:textId="77777777" w:rsidR="00F91FD6" w:rsidRPr="00F91FD6" w:rsidRDefault="00F91FD6" w:rsidP="00F91FD6">
            <w:pPr>
              <w:jc w:val="center"/>
              <w:rPr>
                <w:rFonts w:cs="Arial"/>
                <w:color w:val="000000"/>
                <w:lang w:val="de-DE"/>
              </w:rPr>
            </w:pPr>
            <w:r w:rsidRPr="00F91FD6">
              <w:rPr>
                <w:rFonts w:cs="Arial"/>
                <w:color w:val="000000"/>
                <w:lang w:val="de-DE"/>
              </w:rPr>
              <w:t>aliquoter Anspruch auf Pendlerpauschale</w:t>
            </w:r>
          </w:p>
        </w:tc>
        <w:tc>
          <w:tcPr>
            <w:tcW w:w="1720" w:type="dxa"/>
            <w:tcBorders>
              <w:top w:val="nil"/>
              <w:left w:val="nil"/>
              <w:bottom w:val="single" w:sz="4" w:space="0" w:color="auto"/>
              <w:right w:val="single" w:sz="4" w:space="0" w:color="auto"/>
            </w:tcBorders>
            <w:shd w:val="clear" w:color="auto" w:fill="auto"/>
            <w:vAlign w:val="center"/>
            <w:hideMark/>
          </w:tcPr>
          <w:p w14:paraId="5A7FD373" w14:textId="77777777" w:rsidR="00F91FD6" w:rsidRPr="00F91FD6" w:rsidRDefault="00F91FD6" w:rsidP="00F91FD6">
            <w:pPr>
              <w:jc w:val="center"/>
              <w:rPr>
                <w:rFonts w:cs="Arial"/>
                <w:color w:val="000000"/>
                <w:lang w:val="de-DE"/>
              </w:rPr>
            </w:pPr>
            <w:r w:rsidRPr="00F91FD6">
              <w:rPr>
                <w:rFonts w:cs="Arial"/>
                <w:color w:val="000000"/>
                <w:lang w:val="de-DE"/>
              </w:rPr>
              <w:t>1/3</w:t>
            </w:r>
          </w:p>
        </w:tc>
        <w:tc>
          <w:tcPr>
            <w:tcW w:w="1540" w:type="dxa"/>
            <w:tcBorders>
              <w:top w:val="nil"/>
              <w:left w:val="nil"/>
              <w:bottom w:val="single" w:sz="4" w:space="0" w:color="auto"/>
              <w:right w:val="single" w:sz="4" w:space="0" w:color="auto"/>
            </w:tcBorders>
            <w:shd w:val="clear" w:color="auto" w:fill="auto"/>
            <w:vAlign w:val="center"/>
            <w:hideMark/>
          </w:tcPr>
          <w:p w14:paraId="74DFCAC6" w14:textId="77777777" w:rsidR="00F91FD6" w:rsidRPr="00F91FD6" w:rsidRDefault="00F91FD6" w:rsidP="00F91FD6">
            <w:pPr>
              <w:jc w:val="center"/>
              <w:rPr>
                <w:rFonts w:cs="Arial"/>
                <w:color w:val="000000"/>
                <w:lang w:val="de-DE"/>
              </w:rPr>
            </w:pPr>
            <w:r w:rsidRPr="00F91FD6">
              <w:rPr>
                <w:rFonts w:cs="Arial"/>
                <w:color w:val="000000"/>
                <w:lang w:val="de-DE"/>
              </w:rPr>
              <w:t>2/3</w:t>
            </w:r>
          </w:p>
        </w:tc>
        <w:tc>
          <w:tcPr>
            <w:tcW w:w="1276" w:type="dxa"/>
            <w:tcBorders>
              <w:top w:val="nil"/>
              <w:left w:val="nil"/>
              <w:bottom w:val="single" w:sz="4" w:space="0" w:color="auto"/>
              <w:right w:val="single" w:sz="4" w:space="0" w:color="auto"/>
            </w:tcBorders>
            <w:shd w:val="clear" w:color="auto" w:fill="auto"/>
            <w:vAlign w:val="center"/>
            <w:hideMark/>
          </w:tcPr>
          <w:p w14:paraId="487312A1" w14:textId="77777777" w:rsidR="00F91FD6" w:rsidRPr="00F91FD6" w:rsidRDefault="00F91FD6" w:rsidP="00F91FD6">
            <w:pPr>
              <w:jc w:val="center"/>
              <w:rPr>
                <w:rFonts w:cs="Arial"/>
                <w:color w:val="000000"/>
                <w:lang w:val="de-DE"/>
              </w:rPr>
            </w:pPr>
            <w:r w:rsidRPr="00F91FD6">
              <w:rPr>
                <w:rFonts w:cs="Arial"/>
                <w:color w:val="000000"/>
                <w:lang w:val="de-DE"/>
              </w:rPr>
              <w:t>3/3</w:t>
            </w:r>
          </w:p>
        </w:tc>
      </w:tr>
    </w:tbl>
    <w:p w14:paraId="0E0BE077" w14:textId="03DF0CDA" w:rsidR="00F54A4F" w:rsidRDefault="00F54A4F" w:rsidP="001D6520">
      <w:pPr>
        <w:spacing w:line="276" w:lineRule="auto"/>
        <w:ind w:right="-143"/>
        <w:rPr>
          <w:rFonts w:cs="Arial"/>
          <w:color w:val="000000"/>
        </w:rPr>
      </w:pPr>
    </w:p>
    <w:p w14:paraId="3276DEBB" w14:textId="7ADD3DB1" w:rsidR="00BB667B" w:rsidRDefault="00815506" w:rsidP="00F1173A">
      <w:pPr>
        <w:pStyle w:val="berschrift2"/>
      </w:pPr>
      <w:r w:rsidRPr="00EA359E">
        <w:t>Reisespesen</w:t>
      </w:r>
    </w:p>
    <w:p w14:paraId="5128748F" w14:textId="7345E6AE" w:rsidR="00270EDD" w:rsidRDefault="00C65B9B" w:rsidP="00F46514">
      <w:pPr>
        <w:spacing w:line="276" w:lineRule="auto"/>
        <w:ind w:right="141"/>
        <w:jc w:val="both"/>
        <w:rPr>
          <w:rFonts w:cs="Arial"/>
          <w:bCs/>
        </w:rPr>
      </w:pPr>
      <w:r>
        <w:rPr>
          <w:rFonts w:cs="Arial"/>
          <w:bCs/>
        </w:rPr>
        <w:t>Als</w:t>
      </w:r>
      <w:r w:rsidR="00815506" w:rsidRPr="00EA359E">
        <w:rPr>
          <w:rFonts w:cs="Arial"/>
          <w:bCs/>
        </w:rPr>
        <w:t xml:space="preserve"> </w:t>
      </w:r>
      <w:r w:rsidR="00326DFF" w:rsidRPr="00EA359E">
        <w:rPr>
          <w:rFonts w:cs="Arial"/>
          <w:bCs/>
        </w:rPr>
        <w:t>Sätze</w:t>
      </w:r>
      <w:r w:rsidR="00815506" w:rsidRPr="00EA359E">
        <w:rPr>
          <w:rFonts w:cs="Arial"/>
          <w:bCs/>
        </w:rPr>
        <w:t xml:space="preserve"> </w:t>
      </w:r>
      <w:r w:rsidR="00C6640B" w:rsidRPr="00EA359E">
        <w:rPr>
          <w:rFonts w:cs="Arial"/>
          <w:bCs/>
        </w:rPr>
        <w:t xml:space="preserve">für </w:t>
      </w:r>
      <w:r w:rsidR="00C6640B" w:rsidRPr="00133BB5">
        <w:rPr>
          <w:rFonts w:cs="Arial"/>
          <w:b/>
        </w:rPr>
        <w:t>Tages</w:t>
      </w:r>
      <w:r w:rsidR="00C6640B" w:rsidRPr="00EA359E">
        <w:rPr>
          <w:rFonts w:cs="Arial"/>
          <w:b/>
        </w:rPr>
        <w:t>- und Nächtigungs</w:t>
      </w:r>
      <w:r w:rsidR="00C02585">
        <w:rPr>
          <w:rFonts w:cs="Arial"/>
          <w:b/>
        </w:rPr>
        <w:t>gelder</w:t>
      </w:r>
      <w:r w:rsidR="00C6640B" w:rsidRPr="00EA359E">
        <w:rPr>
          <w:rFonts w:cs="Arial"/>
          <w:b/>
        </w:rPr>
        <w:t xml:space="preserve"> </w:t>
      </w:r>
      <w:r w:rsidR="00386856" w:rsidRPr="00EA359E">
        <w:rPr>
          <w:rFonts w:cs="Arial"/>
          <w:b/>
        </w:rPr>
        <w:t>im Inland</w:t>
      </w:r>
      <w:r w:rsidR="0046550F">
        <w:rPr>
          <w:rFonts w:cs="Arial"/>
          <w:bCs/>
          <w:color w:val="C00000"/>
        </w:rPr>
        <w:t xml:space="preserve"> </w:t>
      </w:r>
      <w:r>
        <w:rPr>
          <w:rFonts w:cs="Arial"/>
          <w:bCs/>
        </w:rPr>
        <w:t>gelten 2026 folgende Beträge</w:t>
      </w:r>
      <w:r w:rsidR="00A629D9" w:rsidRPr="00EA359E">
        <w:rPr>
          <w:rFonts w:cs="Arial"/>
          <w:bCs/>
        </w:rPr>
        <w:t xml:space="preserve">. Die darin enthaltene Vorsteuer </w:t>
      </w:r>
      <w:r w:rsidR="003F0029" w:rsidRPr="00EA359E">
        <w:rPr>
          <w:rFonts w:cs="Arial"/>
          <w:bCs/>
        </w:rPr>
        <w:t>von</w:t>
      </w:r>
      <w:r w:rsidR="00A629D9" w:rsidRPr="00EA359E">
        <w:rPr>
          <w:rFonts w:cs="Arial"/>
          <w:bCs/>
        </w:rPr>
        <w:t xml:space="preserve"> 10</w:t>
      </w:r>
      <w:r w:rsidR="003F0029" w:rsidRPr="00EA359E">
        <w:rPr>
          <w:rFonts w:cs="Arial"/>
          <w:bCs/>
        </w:rPr>
        <w:t xml:space="preserve"> </w:t>
      </w:r>
      <w:r w:rsidR="00A629D9" w:rsidRPr="00EA359E">
        <w:rPr>
          <w:rFonts w:cs="Arial"/>
          <w:bCs/>
        </w:rPr>
        <w:t>% kann geltend gemacht werden. Dies gilt nicht für Auslandsdiäten.</w:t>
      </w:r>
    </w:p>
    <w:tbl>
      <w:tblPr>
        <w:tblW w:w="9346" w:type="dxa"/>
        <w:tblCellMar>
          <w:left w:w="70" w:type="dxa"/>
          <w:right w:w="70" w:type="dxa"/>
        </w:tblCellMar>
        <w:tblLook w:val="04A0" w:firstRow="1" w:lastRow="0" w:firstColumn="1" w:lastColumn="0" w:noHBand="0" w:noVBand="1"/>
      </w:tblPr>
      <w:tblGrid>
        <w:gridCol w:w="3534"/>
        <w:gridCol w:w="4678"/>
        <w:gridCol w:w="1134"/>
      </w:tblGrid>
      <w:tr w:rsidR="00E20441" w:rsidRPr="00E20441" w14:paraId="3359B634" w14:textId="77777777" w:rsidTr="004419A0">
        <w:trPr>
          <w:trHeight w:val="315"/>
        </w:trPr>
        <w:tc>
          <w:tcPr>
            <w:tcW w:w="3534" w:type="dxa"/>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center"/>
            <w:hideMark/>
          </w:tcPr>
          <w:p w14:paraId="16D6D176" w14:textId="77777777" w:rsidR="00E20441" w:rsidRPr="00E20441" w:rsidRDefault="00E20441" w:rsidP="00E20441">
            <w:pPr>
              <w:ind w:left="-163" w:firstLine="163"/>
              <w:rPr>
                <w:rFonts w:cs="Arial"/>
                <w:b/>
                <w:bCs/>
                <w:color w:val="000000"/>
                <w:lang w:val="de-DE"/>
              </w:rPr>
            </w:pPr>
            <w:r w:rsidRPr="00E20441">
              <w:rPr>
                <w:rFonts w:cs="Arial"/>
                <w:b/>
                <w:bCs/>
              </w:rPr>
              <w:t>Taggeld - Inland</w:t>
            </w:r>
          </w:p>
        </w:tc>
        <w:tc>
          <w:tcPr>
            <w:tcW w:w="4678"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4A2E4FDE" w14:textId="77777777" w:rsidR="00E20441" w:rsidRPr="00E20441" w:rsidRDefault="00E20441" w:rsidP="00E20441">
            <w:pPr>
              <w:ind w:left="-163" w:firstLine="163"/>
              <w:jc w:val="center"/>
              <w:rPr>
                <w:rFonts w:cs="Arial"/>
                <w:color w:val="000000"/>
                <w:lang w:val="de-DE"/>
              </w:rPr>
            </w:pPr>
            <w:r w:rsidRPr="00E20441">
              <w:rPr>
                <w:rFonts w:cs="Arial"/>
                <w:bCs/>
              </w:rPr>
              <w:t>Dauer &gt; 3 Std bis 12 Std aliquot ein Zwölftel</w:t>
            </w:r>
          </w:p>
        </w:tc>
        <w:tc>
          <w:tcPr>
            <w:tcW w:w="1134" w:type="dxa"/>
            <w:tcBorders>
              <w:top w:val="single" w:sz="8" w:space="0" w:color="auto"/>
              <w:left w:val="nil"/>
              <w:bottom w:val="single" w:sz="8" w:space="0" w:color="auto"/>
              <w:right w:val="single" w:sz="8" w:space="0" w:color="auto"/>
            </w:tcBorders>
            <w:shd w:val="clear" w:color="auto" w:fill="B8CCE4" w:themeFill="accent1" w:themeFillTint="66"/>
            <w:noWrap/>
            <w:vAlign w:val="center"/>
            <w:hideMark/>
          </w:tcPr>
          <w:p w14:paraId="6DBAD3BC" w14:textId="77777777" w:rsidR="00E20441" w:rsidRPr="00E20441" w:rsidRDefault="00E20441" w:rsidP="00E20441">
            <w:pPr>
              <w:ind w:left="-163" w:firstLine="163"/>
              <w:jc w:val="center"/>
              <w:rPr>
                <w:rFonts w:cs="Arial"/>
                <w:b/>
                <w:bCs/>
                <w:color w:val="000000"/>
                <w:lang w:val="de-DE"/>
              </w:rPr>
            </w:pPr>
            <w:r w:rsidRPr="00E20441">
              <w:rPr>
                <w:rFonts w:cs="Arial"/>
                <w:b/>
                <w:bCs/>
              </w:rPr>
              <w:t>€ 30</w:t>
            </w:r>
          </w:p>
        </w:tc>
      </w:tr>
      <w:tr w:rsidR="00E20441" w:rsidRPr="00E20441" w14:paraId="411988EC" w14:textId="77777777" w:rsidTr="004419A0">
        <w:trPr>
          <w:trHeight w:val="315"/>
        </w:trPr>
        <w:tc>
          <w:tcPr>
            <w:tcW w:w="3534" w:type="dxa"/>
            <w:tcBorders>
              <w:top w:val="nil"/>
              <w:left w:val="single" w:sz="8" w:space="0" w:color="auto"/>
              <w:bottom w:val="single" w:sz="8" w:space="0" w:color="auto"/>
              <w:right w:val="single" w:sz="8" w:space="0" w:color="auto"/>
            </w:tcBorders>
            <w:shd w:val="clear" w:color="auto" w:fill="DBE5F1" w:themeFill="accent1" w:themeFillTint="33"/>
            <w:noWrap/>
            <w:vAlign w:val="center"/>
            <w:hideMark/>
          </w:tcPr>
          <w:p w14:paraId="13AFB9BE" w14:textId="77777777" w:rsidR="00E20441" w:rsidRPr="00E20441" w:rsidRDefault="00E20441" w:rsidP="00E20441">
            <w:pPr>
              <w:ind w:left="-163" w:firstLine="163"/>
              <w:rPr>
                <w:rFonts w:cs="Arial"/>
                <w:b/>
                <w:bCs/>
                <w:color w:val="000000"/>
                <w:lang w:val="de-DE"/>
              </w:rPr>
            </w:pPr>
            <w:r w:rsidRPr="00E20441">
              <w:rPr>
                <w:rFonts w:cs="Arial"/>
                <w:b/>
                <w:bCs/>
              </w:rPr>
              <w:t>Nächtigungsgeld - Inland</w:t>
            </w:r>
          </w:p>
        </w:tc>
        <w:tc>
          <w:tcPr>
            <w:tcW w:w="4678" w:type="dxa"/>
            <w:tcBorders>
              <w:top w:val="nil"/>
              <w:left w:val="nil"/>
              <w:bottom w:val="single" w:sz="8" w:space="0" w:color="auto"/>
              <w:right w:val="single" w:sz="8" w:space="0" w:color="auto"/>
            </w:tcBorders>
            <w:shd w:val="clear" w:color="auto" w:fill="DBE5F1" w:themeFill="accent1" w:themeFillTint="33"/>
            <w:noWrap/>
            <w:vAlign w:val="center"/>
            <w:hideMark/>
          </w:tcPr>
          <w:p w14:paraId="57756120" w14:textId="77777777" w:rsidR="00E20441" w:rsidRPr="00E20441" w:rsidRDefault="00E20441" w:rsidP="00E20441">
            <w:pPr>
              <w:ind w:left="-163" w:firstLine="163"/>
              <w:jc w:val="center"/>
              <w:rPr>
                <w:rFonts w:cs="Arial"/>
                <w:color w:val="000000"/>
                <w:lang w:val="de-DE"/>
              </w:rPr>
            </w:pPr>
            <w:r w:rsidRPr="00E20441">
              <w:rPr>
                <w:rFonts w:cs="Arial"/>
              </w:rPr>
              <w:t xml:space="preserve">pauschal </w:t>
            </w:r>
            <w:proofErr w:type="gramStart"/>
            <w:r w:rsidRPr="00E20441">
              <w:rPr>
                <w:rFonts w:cs="Arial"/>
              </w:rPr>
              <w:t>anstelle Beleg</w:t>
            </w:r>
            <w:proofErr w:type="gramEnd"/>
            <w:r w:rsidRPr="00E20441">
              <w:rPr>
                <w:rFonts w:cs="Arial"/>
              </w:rPr>
              <w:t xml:space="preserve"> für Übernachtung</w:t>
            </w:r>
          </w:p>
        </w:tc>
        <w:tc>
          <w:tcPr>
            <w:tcW w:w="1134" w:type="dxa"/>
            <w:tcBorders>
              <w:top w:val="nil"/>
              <w:left w:val="nil"/>
              <w:bottom w:val="single" w:sz="8" w:space="0" w:color="auto"/>
              <w:right w:val="single" w:sz="8" w:space="0" w:color="auto"/>
            </w:tcBorders>
            <w:shd w:val="clear" w:color="auto" w:fill="DBE5F1" w:themeFill="accent1" w:themeFillTint="33"/>
            <w:noWrap/>
            <w:vAlign w:val="center"/>
            <w:hideMark/>
          </w:tcPr>
          <w:p w14:paraId="4D1BDDD1" w14:textId="77777777" w:rsidR="00E20441" w:rsidRPr="00E20441" w:rsidRDefault="00E20441" w:rsidP="00E20441">
            <w:pPr>
              <w:ind w:left="-163" w:firstLine="163"/>
              <w:jc w:val="center"/>
              <w:rPr>
                <w:rFonts w:cs="Arial"/>
                <w:b/>
                <w:bCs/>
                <w:color w:val="000000"/>
                <w:lang w:val="de-DE"/>
              </w:rPr>
            </w:pPr>
            <w:r w:rsidRPr="00E20441">
              <w:rPr>
                <w:rFonts w:cs="Arial"/>
                <w:b/>
                <w:bCs/>
              </w:rPr>
              <w:t>€ 17</w:t>
            </w:r>
          </w:p>
        </w:tc>
      </w:tr>
    </w:tbl>
    <w:p w14:paraId="71DC4BEA" w14:textId="77777777" w:rsidR="00E20441" w:rsidRPr="00EA359E" w:rsidRDefault="00E20441" w:rsidP="00F46514">
      <w:pPr>
        <w:spacing w:line="276" w:lineRule="auto"/>
        <w:ind w:right="141"/>
        <w:jc w:val="both"/>
        <w:rPr>
          <w:rFonts w:cs="Arial"/>
          <w:bCs/>
        </w:rPr>
      </w:pPr>
    </w:p>
    <w:p w14:paraId="6DA6A3D8" w14:textId="74C57A48" w:rsidR="00EF661E" w:rsidRDefault="002B4527" w:rsidP="0012256D">
      <w:pPr>
        <w:spacing w:line="276" w:lineRule="auto"/>
        <w:ind w:right="141"/>
        <w:jc w:val="both"/>
        <w:rPr>
          <w:rFonts w:ascii="Times New Roman" w:hAnsi="Times New Roman"/>
          <w:lang w:eastAsia="de-AT"/>
        </w:rPr>
      </w:pPr>
      <w:r w:rsidRPr="00EA359E">
        <w:rPr>
          <w:rFonts w:cs="Arial"/>
        </w:rPr>
        <w:t xml:space="preserve">Das </w:t>
      </w:r>
      <w:r w:rsidRPr="00133BB5">
        <w:rPr>
          <w:rFonts w:cs="Arial"/>
          <w:b/>
          <w:bCs/>
        </w:rPr>
        <w:t>Kilometergeld</w:t>
      </w:r>
      <w:r w:rsidRPr="00133BB5">
        <w:rPr>
          <w:rFonts w:cs="Arial"/>
        </w:rPr>
        <w:t xml:space="preserve"> </w:t>
      </w:r>
      <w:r w:rsidR="00EF1EE5">
        <w:rPr>
          <w:rFonts w:cs="Arial"/>
        </w:rPr>
        <w:t>beträgt</w:t>
      </w:r>
      <w:r w:rsidR="00E20441">
        <w:rPr>
          <w:rFonts w:cs="Arial"/>
        </w:rPr>
        <w:t xml:space="preserve"> 2026</w:t>
      </w:r>
      <w:r w:rsidR="00EF1EE5">
        <w:rPr>
          <w:rFonts w:cs="Arial"/>
        </w:rPr>
        <w:t>:</w:t>
      </w:r>
      <w:r w:rsidR="00EF1EE5">
        <w:fldChar w:fldCharType="begin"/>
      </w:r>
      <w:r w:rsidR="00EF1EE5">
        <w:instrText xml:space="preserve"> LINK </w:instrText>
      </w:r>
      <w:r w:rsidR="000B6A1C">
        <w:instrText xml:space="preserve">Excel.Sheet.12 "\\\\TS01\\Daten\\DATEN\\Klifo OG\\KLI_INFO\\Klifo 2026\\Klifo 1 2026\\berechnung Klifo 1 2026.xlsx" Kilometergeld!Z2S1:Z4S5 </w:instrText>
      </w:r>
      <w:r w:rsidR="00EF1EE5">
        <w:instrText xml:space="preserve">\a \f 4 \h </w:instrText>
      </w:r>
      <w:r w:rsidR="00C575E2">
        <w:instrText xml:space="preserve"> \* MERGEFORMAT </w:instrText>
      </w:r>
      <w:r w:rsidR="00EF1EE5">
        <w:fldChar w:fldCharType="separate"/>
      </w:r>
    </w:p>
    <w:tbl>
      <w:tblPr>
        <w:tblW w:w="9339" w:type="dxa"/>
        <w:shd w:val="clear" w:color="auto" w:fill="DBE5F1" w:themeFill="accent1" w:themeFillTint="33"/>
        <w:tblCellMar>
          <w:left w:w="70" w:type="dxa"/>
          <w:right w:w="70" w:type="dxa"/>
        </w:tblCellMar>
        <w:tblLook w:val="04A0" w:firstRow="1" w:lastRow="0" w:firstColumn="1" w:lastColumn="0" w:noHBand="0" w:noVBand="1"/>
      </w:tblPr>
      <w:tblGrid>
        <w:gridCol w:w="3392"/>
        <w:gridCol w:w="1843"/>
        <w:gridCol w:w="1418"/>
        <w:gridCol w:w="1486"/>
        <w:gridCol w:w="1200"/>
      </w:tblGrid>
      <w:tr w:rsidR="00EF661E" w:rsidRPr="00EF661E" w14:paraId="37A7C560" w14:textId="77777777" w:rsidTr="004419A0">
        <w:trPr>
          <w:divId w:val="1586844595"/>
          <w:trHeight w:val="315"/>
        </w:trPr>
        <w:tc>
          <w:tcPr>
            <w:tcW w:w="33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77B8A22" w14:textId="69333C8C" w:rsidR="00EF661E" w:rsidRPr="00EF661E" w:rsidRDefault="00EF661E" w:rsidP="00EF661E">
            <w:pPr>
              <w:rPr>
                <w:rFonts w:cs="Arial"/>
                <w:color w:val="000000"/>
                <w:lang w:val="de-DE"/>
              </w:rPr>
            </w:pPr>
            <w:r w:rsidRPr="00EF661E">
              <w:rPr>
                <w:rFonts w:cs="Arial"/>
                <w:color w:val="000000"/>
                <w:lang w:val="de-DE"/>
              </w:rPr>
              <w:t> </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796EF1CC" w14:textId="77777777" w:rsidR="00EF661E" w:rsidRPr="00EF661E" w:rsidRDefault="00EF661E" w:rsidP="00EF661E">
            <w:pPr>
              <w:jc w:val="center"/>
              <w:rPr>
                <w:rFonts w:cs="Arial"/>
                <w:color w:val="000000"/>
                <w:lang w:val="de-DE"/>
              </w:rPr>
            </w:pPr>
            <w:r w:rsidRPr="00EF661E">
              <w:rPr>
                <w:rFonts w:cs="Arial"/>
                <w:color w:val="000000"/>
                <w:lang w:val="de-DE"/>
              </w:rPr>
              <w:t>PKW / Kombi</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303F08D6" w14:textId="77777777" w:rsidR="00EF661E" w:rsidRPr="00EF661E" w:rsidRDefault="00EF661E" w:rsidP="00EF661E">
            <w:pPr>
              <w:jc w:val="center"/>
              <w:rPr>
                <w:rFonts w:cs="Arial"/>
                <w:color w:val="000000"/>
                <w:lang w:val="de-DE"/>
              </w:rPr>
            </w:pPr>
            <w:r w:rsidRPr="00EF661E">
              <w:rPr>
                <w:rFonts w:cs="Arial"/>
                <w:color w:val="000000"/>
                <w:lang w:val="de-DE"/>
              </w:rPr>
              <w:t xml:space="preserve">Motorrad </w:t>
            </w:r>
          </w:p>
        </w:tc>
        <w:tc>
          <w:tcPr>
            <w:tcW w:w="1486" w:type="dxa"/>
            <w:tcBorders>
              <w:top w:val="single" w:sz="8" w:space="0" w:color="auto"/>
              <w:left w:val="nil"/>
              <w:bottom w:val="single" w:sz="4" w:space="0" w:color="auto"/>
              <w:right w:val="nil"/>
            </w:tcBorders>
            <w:shd w:val="clear" w:color="auto" w:fill="auto"/>
            <w:noWrap/>
            <w:vAlign w:val="center"/>
            <w:hideMark/>
          </w:tcPr>
          <w:p w14:paraId="7D42B89B" w14:textId="77777777" w:rsidR="00EF661E" w:rsidRPr="00EF661E" w:rsidRDefault="00EF661E" w:rsidP="00EF661E">
            <w:pPr>
              <w:jc w:val="center"/>
              <w:rPr>
                <w:rFonts w:cs="Arial"/>
                <w:color w:val="000000"/>
                <w:lang w:val="de-DE"/>
              </w:rPr>
            </w:pPr>
            <w:r w:rsidRPr="00EF661E">
              <w:rPr>
                <w:rFonts w:cs="Arial"/>
                <w:color w:val="000000"/>
                <w:lang w:val="de-DE"/>
              </w:rPr>
              <w:t>Mitbeförderung</w:t>
            </w:r>
          </w:p>
        </w:tc>
        <w:tc>
          <w:tcPr>
            <w:tcW w:w="120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3B0FB5D" w14:textId="77777777" w:rsidR="00EF661E" w:rsidRPr="00EF661E" w:rsidRDefault="00EF661E" w:rsidP="00EF661E">
            <w:pPr>
              <w:jc w:val="center"/>
              <w:rPr>
                <w:rFonts w:cs="Arial"/>
                <w:color w:val="000000"/>
                <w:lang w:val="de-DE"/>
              </w:rPr>
            </w:pPr>
            <w:r w:rsidRPr="00EF661E">
              <w:rPr>
                <w:rFonts w:cs="Arial"/>
                <w:color w:val="000000"/>
                <w:lang w:val="de-DE"/>
              </w:rPr>
              <w:t xml:space="preserve">Fahrrad </w:t>
            </w:r>
          </w:p>
        </w:tc>
      </w:tr>
      <w:tr w:rsidR="00EF661E" w:rsidRPr="00EF661E" w14:paraId="64EAE638" w14:textId="77777777" w:rsidTr="004419A0">
        <w:trPr>
          <w:divId w:val="1586844595"/>
          <w:trHeight w:val="315"/>
        </w:trPr>
        <w:tc>
          <w:tcPr>
            <w:tcW w:w="3392" w:type="dxa"/>
            <w:tcBorders>
              <w:top w:val="nil"/>
              <w:left w:val="single" w:sz="8" w:space="0" w:color="auto"/>
              <w:bottom w:val="single" w:sz="4" w:space="0" w:color="auto"/>
              <w:right w:val="single" w:sz="4" w:space="0" w:color="auto"/>
            </w:tcBorders>
            <w:shd w:val="clear" w:color="auto" w:fill="DBE5F1" w:themeFill="accent1" w:themeFillTint="33"/>
            <w:noWrap/>
            <w:vAlign w:val="center"/>
            <w:hideMark/>
          </w:tcPr>
          <w:p w14:paraId="3A4BBC42" w14:textId="77777777" w:rsidR="00EF661E" w:rsidRPr="00EF661E" w:rsidRDefault="00EF661E" w:rsidP="00EF661E">
            <w:pPr>
              <w:rPr>
                <w:rFonts w:cs="Arial"/>
                <w:b/>
                <w:bCs/>
                <w:color w:val="000000"/>
                <w:lang w:val="de-DE"/>
              </w:rPr>
            </w:pPr>
            <w:r w:rsidRPr="00EF661E">
              <w:rPr>
                <w:rFonts w:cs="Arial"/>
                <w:b/>
                <w:bCs/>
                <w:color w:val="000000"/>
                <w:lang w:val="de-DE"/>
              </w:rPr>
              <w:t>km-Geld</w:t>
            </w:r>
          </w:p>
        </w:tc>
        <w:tc>
          <w:tcPr>
            <w:tcW w:w="1843" w:type="dxa"/>
            <w:tcBorders>
              <w:top w:val="nil"/>
              <w:left w:val="nil"/>
              <w:bottom w:val="single" w:sz="4" w:space="0" w:color="auto"/>
              <w:right w:val="single" w:sz="4" w:space="0" w:color="auto"/>
            </w:tcBorders>
            <w:shd w:val="clear" w:color="auto" w:fill="DBE5F1" w:themeFill="accent1" w:themeFillTint="33"/>
            <w:noWrap/>
            <w:vAlign w:val="center"/>
            <w:hideMark/>
          </w:tcPr>
          <w:p w14:paraId="0681F54A" w14:textId="77777777" w:rsidR="00EF661E" w:rsidRPr="00EF661E" w:rsidRDefault="00EF661E" w:rsidP="00EF661E">
            <w:pPr>
              <w:jc w:val="center"/>
              <w:rPr>
                <w:rFonts w:cs="Arial"/>
                <w:b/>
                <w:bCs/>
                <w:color w:val="000000"/>
                <w:lang w:val="de-DE"/>
              </w:rPr>
            </w:pPr>
            <w:r w:rsidRPr="00EF661E">
              <w:rPr>
                <w:rFonts w:cs="Arial"/>
                <w:b/>
                <w:bCs/>
                <w:color w:val="000000"/>
                <w:lang w:val="de-DE"/>
              </w:rPr>
              <w:t>€ 0,50</w:t>
            </w:r>
          </w:p>
        </w:tc>
        <w:tc>
          <w:tcPr>
            <w:tcW w:w="1418" w:type="dxa"/>
            <w:tcBorders>
              <w:top w:val="nil"/>
              <w:left w:val="nil"/>
              <w:bottom w:val="single" w:sz="4" w:space="0" w:color="auto"/>
              <w:right w:val="single" w:sz="4" w:space="0" w:color="auto"/>
            </w:tcBorders>
            <w:shd w:val="clear" w:color="auto" w:fill="DBE5F1" w:themeFill="accent1" w:themeFillTint="33"/>
            <w:noWrap/>
            <w:vAlign w:val="center"/>
            <w:hideMark/>
          </w:tcPr>
          <w:p w14:paraId="42ABCC08" w14:textId="77777777" w:rsidR="00EF661E" w:rsidRPr="00EF661E" w:rsidRDefault="00EF661E" w:rsidP="00EF661E">
            <w:pPr>
              <w:jc w:val="center"/>
              <w:rPr>
                <w:rFonts w:cs="Arial"/>
                <w:b/>
                <w:bCs/>
                <w:color w:val="000000"/>
                <w:lang w:val="de-DE"/>
              </w:rPr>
            </w:pPr>
            <w:r w:rsidRPr="00EF661E">
              <w:rPr>
                <w:rFonts w:cs="Arial"/>
                <w:b/>
                <w:bCs/>
                <w:color w:val="000000"/>
                <w:lang w:val="de-DE"/>
              </w:rPr>
              <w:t>€ 0,25</w:t>
            </w:r>
          </w:p>
        </w:tc>
        <w:tc>
          <w:tcPr>
            <w:tcW w:w="1486" w:type="dxa"/>
            <w:tcBorders>
              <w:top w:val="nil"/>
              <w:left w:val="nil"/>
              <w:bottom w:val="single" w:sz="4" w:space="0" w:color="auto"/>
              <w:right w:val="nil"/>
            </w:tcBorders>
            <w:shd w:val="clear" w:color="auto" w:fill="DBE5F1" w:themeFill="accent1" w:themeFillTint="33"/>
            <w:noWrap/>
            <w:vAlign w:val="center"/>
            <w:hideMark/>
          </w:tcPr>
          <w:p w14:paraId="53BF38EE" w14:textId="77777777" w:rsidR="00EF661E" w:rsidRPr="00EF661E" w:rsidRDefault="00EF661E" w:rsidP="00EF661E">
            <w:pPr>
              <w:jc w:val="center"/>
              <w:rPr>
                <w:rFonts w:cs="Arial"/>
                <w:b/>
                <w:bCs/>
                <w:color w:val="000000"/>
                <w:lang w:val="de-DE"/>
              </w:rPr>
            </w:pPr>
            <w:r w:rsidRPr="00EF661E">
              <w:rPr>
                <w:rFonts w:cs="Arial"/>
                <w:b/>
                <w:bCs/>
                <w:color w:val="000000"/>
                <w:lang w:val="de-DE"/>
              </w:rPr>
              <w:t>€ 0,15</w:t>
            </w:r>
          </w:p>
        </w:tc>
        <w:tc>
          <w:tcPr>
            <w:tcW w:w="1200" w:type="dxa"/>
            <w:tcBorders>
              <w:top w:val="nil"/>
              <w:left w:val="single" w:sz="4" w:space="0" w:color="auto"/>
              <w:bottom w:val="single" w:sz="4" w:space="0" w:color="auto"/>
              <w:right w:val="single" w:sz="8" w:space="0" w:color="auto"/>
            </w:tcBorders>
            <w:shd w:val="clear" w:color="auto" w:fill="DBE5F1" w:themeFill="accent1" w:themeFillTint="33"/>
            <w:noWrap/>
            <w:vAlign w:val="center"/>
            <w:hideMark/>
          </w:tcPr>
          <w:p w14:paraId="69F7DD1F" w14:textId="77777777" w:rsidR="00EF661E" w:rsidRPr="00EF661E" w:rsidRDefault="00EF661E" w:rsidP="00EF661E">
            <w:pPr>
              <w:jc w:val="center"/>
              <w:rPr>
                <w:rFonts w:cs="Arial"/>
                <w:b/>
                <w:bCs/>
                <w:color w:val="000000"/>
                <w:lang w:val="de-DE"/>
              </w:rPr>
            </w:pPr>
            <w:r w:rsidRPr="00EF661E">
              <w:rPr>
                <w:rFonts w:cs="Arial"/>
                <w:b/>
                <w:bCs/>
                <w:color w:val="000000"/>
                <w:lang w:val="de-DE"/>
              </w:rPr>
              <w:t>€ 0,25</w:t>
            </w:r>
          </w:p>
        </w:tc>
      </w:tr>
      <w:tr w:rsidR="00EF661E" w:rsidRPr="00EF661E" w14:paraId="3D6D70E0" w14:textId="77777777" w:rsidTr="004419A0">
        <w:trPr>
          <w:divId w:val="1586844595"/>
          <w:trHeight w:val="315"/>
        </w:trPr>
        <w:tc>
          <w:tcPr>
            <w:tcW w:w="3392" w:type="dxa"/>
            <w:tcBorders>
              <w:top w:val="nil"/>
              <w:left w:val="single" w:sz="8" w:space="0" w:color="auto"/>
              <w:bottom w:val="single" w:sz="8" w:space="0" w:color="auto"/>
              <w:right w:val="single" w:sz="4" w:space="0" w:color="auto"/>
            </w:tcBorders>
            <w:shd w:val="clear" w:color="auto" w:fill="auto"/>
            <w:noWrap/>
            <w:vAlign w:val="center"/>
            <w:hideMark/>
          </w:tcPr>
          <w:p w14:paraId="228EEB21" w14:textId="77777777" w:rsidR="00EF661E" w:rsidRPr="00EF661E" w:rsidRDefault="00EF661E" w:rsidP="00EF661E">
            <w:pPr>
              <w:rPr>
                <w:rFonts w:cs="Arial"/>
                <w:color w:val="000000"/>
                <w:lang w:val="de-DE"/>
              </w:rPr>
            </w:pPr>
            <w:r w:rsidRPr="00EF661E">
              <w:rPr>
                <w:rFonts w:cs="Arial"/>
                <w:color w:val="000000"/>
                <w:lang w:val="de-DE"/>
              </w:rPr>
              <w:t>maximal verrechenbare km / Jahr</w:t>
            </w:r>
          </w:p>
        </w:tc>
        <w:tc>
          <w:tcPr>
            <w:tcW w:w="1843" w:type="dxa"/>
            <w:tcBorders>
              <w:top w:val="nil"/>
              <w:left w:val="nil"/>
              <w:bottom w:val="single" w:sz="8" w:space="0" w:color="auto"/>
              <w:right w:val="single" w:sz="4" w:space="0" w:color="auto"/>
            </w:tcBorders>
            <w:shd w:val="clear" w:color="auto" w:fill="auto"/>
            <w:noWrap/>
            <w:vAlign w:val="center"/>
            <w:hideMark/>
          </w:tcPr>
          <w:p w14:paraId="5FDF2355" w14:textId="77777777" w:rsidR="00EF661E" w:rsidRPr="00EF661E" w:rsidRDefault="00EF661E" w:rsidP="00EF661E">
            <w:pPr>
              <w:jc w:val="center"/>
              <w:rPr>
                <w:rFonts w:cs="Arial"/>
                <w:color w:val="000000"/>
                <w:lang w:val="de-DE"/>
              </w:rPr>
            </w:pPr>
            <w:r w:rsidRPr="00EF661E">
              <w:rPr>
                <w:rFonts w:cs="Arial"/>
                <w:color w:val="000000"/>
                <w:lang w:val="de-DE"/>
              </w:rPr>
              <w:t>30.000</w:t>
            </w:r>
          </w:p>
        </w:tc>
        <w:tc>
          <w:tcPr>
            <w:tcW w:w="1418" w:type="dxa"/>
            <w:tcBorders>
              <w:top w:val="nil"/>
              <w:left w:val="nil"/>
              <w:bottom w:val="single" w:sz="8" w:space="0" w:color="auto"/>
              <w:right w:val="single" w:sz="4" w:space="0" w:color="auto"/>
            </w:tcBorders>
            <w:shd w:val="clear" w:color="auto" w:fill="auto"/>
            <w:noWrap/>
            <w:vAlign w:val="center"/>
            <w:hideMark/>
          </w:tcPr>
          <w:p w14:paraId="0E5B65A0" w14:textId="77777777" w:rsidR="00EF661E" w:rsidRPr="00EF661E" w:rsidRDefault="00EF661E" w:rsidP="00EF661E">
            <w:pPr>
              <w:jc w:val="center"/>
              <w:rPr>
                <w:rFonts w:cs="Arial"/>
                <w:color w:val="000000"/>
                <w:lang w:val="de-DE"/>
              </w:rPr>
            </w:pPr>
            <w:r w:rsidRPr="00EF661E">
              <w:rPr>
                <w:rFonts w:cs="Arial"/>
                <w:color w:val="000000"/>
                <w:lang w:val="de-DE"/>
              </w:rPr>
              <w:t> </w:t>
            </w:r>
          </w:p>
        </w:tc>
        <w:tc>
          <w:tcPr>
            <w:tcW w:w="1486" w:type="dxa"/>
            <w:tcBorders>
              <w:top w:val="nil"/>
              <w:left w:val="nil"/>
              <w:bottom w:val="single" w:sz="8" w:space="0" w:color="auto"/>
              <w:right w:val="nil"/>
            </w:tcBorders>
            <w:shd w:val="clear" w:color="auto" w:fill="auto"/>
            <w:noWrap/>
            <w:vAlign w:val="center"/>
            <w:hideMark/>
          </w:tcPr>
          <w:p w14:paraId="63565442" w14:textId="77777777" w:rsidR="00EF661E" w:rsidRPr="00EF661E" w:rsidRDefault="00EF661E" w:rsidP="00EF661E">
            <w:pPr>
              <w:jc w:val="center"/>
              <w:rPr>
                <w:rFonts w:cs="Arial"/>
                <w:color w:val="000000"/>
                <w:lang w:val="de-DE"/>
              </w:rPr>
            </w:pPr>
            <w:r w:rsidRPr="00EF661E">
              <w:rPr>
                <w:rFonts w:cs="Arial"/>
                <w:color w:val="000000"/>
                <w:lang w:val="de-DE"/>
              </w:rPr>
              <w:t> </w:t>
            </w:r>
          </w:p>
        </w:tc>
        <w:tc>
          <w:tcPr>
            <w:tcW w:w="1200" w:type="dxa"/>
            <w:tcBorders>
              <w:top w:val="nil"/>
              <w:left w:val="single" w:sz="4" w:space="0" w:color="auto"/>
              <w:bottom w:val="single" w:sz="8" w:space="0" w:color="auto"/>
              <w:right w:val="single" w:sz="8" w:space="0" w:color="auto"/>
            </w:tcBorders>
            <w:shd w:val="clear" w:color="auto" w:fill="auto"/>
            <w:noWrap/>
            <w:vAlign w:val="center"/>
            <w:hideMark/>
          </w:tcPr>
          <w:p w14:paraId="01EB5D78" w14:textId="77777777" w:rsidR="00EF661E" w:rsidRPr="00EF661E" w:rsidRDefault="00EF661E" w:rsidP="00EF661E">
            <w:pPr>
              <w:jc w:val="center"/>
              <w:rPr>
                <w:rFonts w:cs="Arial"/>
                <w:color w:val="000000"/>
                <w:lang w:val="de-DE"/>
              </w:rPr>
            </w:pPr>
            <w:r w:rsidRPr="00EF661E">
              <w:rPr>
                <w:rFonts w:cs="Arial"/>
                <w:color w:val="000000"/>
                <w:lang w:val="de-DE"/>
              </w:rPr>
              <w:t>3.000</w:t>
            </w:r>
          </w:p>
        </w:tc>
      </w:tr>
    </w:tbl>
    <w:p w14:paraId="36B2C4D2" w14:textId="490B25B7" w:rsidR="0000184A" w:rsidRPr="0012256D" w:rsidRDefault="00EF1EE5" w:rsidP="0012256D">
      <w:pPr>
        <w:spacing w:line="276" w:lineRule="auto"/>
        <w:ind w:right="141"/>
        <w:jc w:val="both"/>
        <w:rPr>
          <w:rFonts w:cs="Arial"/>
        </w:rPr>
      </w:pPr>
      <w:r>
        <w:rPr>
          <w:rFonts w:cs="Arial"/>
        </w:rPr>
        <w:fldChar w:fldCharType="end"/>
      </w:r>
    </w:p>
    <w:p w14:paraId="36FEEEE6" w14:textId="77777777" w:rsidR="00C02585" w:rsidRPr="00C02585" w:rsidRDefault="0000184A" w:rsidP="00A27086">
      <w:pPr>
        <w:pStyle w:val="berschrift2"/>
        <w:rPr>
          <w:lang w:val="de-DE"/>
        </w:rPr>
      </w:pPr>
      <w:r w:rsidRPr="00C02585">
        <w:rPr>
          <w:lang w:val="de-DE"/>
        </w:rPr>
        <w:t>Überstundenzuschläge</w:t>
      </w:r>
    </w:p>
    <w:p w14:paraId="24EF8A22" w14:textId="32761B7B" w:rsidR="00657929" w:rsidRPr="0012256D" w:rsidRDefault="00657929" w:rsidP="00C02585">
      <w:pPr>
        <w:pStyle w:val="AufzhlungenKlifonichtfett"/>
        <w:numPr>
          <w:ilvl w:val="0"/>
          <w:numId w:val="0"/>
        </w:numPr>
        <w:ind w:left="567"/>
        <w:rPr>
          <w:lang w:val="de-DE"/>
        </w:rPr>
      </w:pPr>
      <w:r w:rsidRPr="00560995">
        <w:t>Durch die Gesetzesänderung wird im Jahr 2026 der Zuschlag für die ersten</w:t>
      </w:r>
      <w:r w:rsidRPr="0012256D">
        <w:t xml:space="preserve"> </w:t>
      </w:r>
      <w:r w:rsidRPr="00C919B0">
        <w:rPr>
          <w:b/>
          <w:bCs/>
        </w:rPr>
        <w:t>15 Überstunden im Monat</w:t>
      </w:r>
      <w:r w:rsidRPr="00560995">
        <w:t xml:space="preserve"> bis zum Betrag von </w:t>
      </w:r>
      <w:r w:rsidRPr="00C919B0">
        <w:rPr>
          <w:b/>
          <w:bCs/>
        </w:rPr>
        <w:t>€ 170</w:t>
      </w:r>
      <w:r w:rsidRPr="00560995">
        <w:t xml:space="preserve"> steuerfrei bleiben. Ohne die gesetzliche Anpassung </w:t>
      </w:r>
      <w:r w:rsidR="003E092A" w:rsidRPr="00560995">
        <w:t>hätte</w:t>
      </w:r>
      <w:r w:rsidRPr="00560995">
        <w:t xml:space="preserve"> der steuerfreie Zuschlag </w:t>
      </w:r>
      <w:r w:rsidR="003E092A" w:rsidRPr="00560995">
        <w:t xml:space="preserve">im Jahr 2026 lediglich </w:t>
      </w:r>
      <w:r w:rsidRPr="00560995">
        <w:t xml:space="preserve">€ 120 </w:t>
      </w:r>
      <w:r w:rsidR="003E092A" w:rsidRPr="00560995">
        <w:t>betragen</w:t>
      </w:r>
      <w:r w:rsidRPr="00560995">
        <w:t>.</w:t>
      </w:r>
      <w:r w:rsidRPr="0012256D">
        <w:t xml:space="preserve"> </w:t>
      </w:r>
    </w:p>
    <w:p w14:paraId="718EF5E4" w14:textId="77777777" w:rsidR="0087374D" w:rsidRDefault="0087374D" w:rsidP="003E18C8">
      <w:pPr>
        <w:spacing w:line="276" w:lineRule="auto"/>
        <w:ind w:right="-1"/>
        <w:jc w:val="both"/>
        <w:rPr>
          <w:rFonts w:cs="Arial"/>
          <w:lang w:val="de-DE"/>
        </w:rPr>
      </w:pPr>
    </w:p>
    <w:p w14:paraId="7AC35E01" w14:textId="77777777" w:rsidR="00C02585" w:rsidRPr="00C02585" w:rsidRDefault="00657929" w:rsidP="00A27086">
      <w:pPr>
        <w:pStyle w:val="berschrift2"/>
      </w:pPr>
      <w:r w:rsidRPr="003B1561">
        <w:rPr>
          <w:lang w:val="de-DE"/>
        </w:rPr>
        <w:t>F</w:t>
      </w:r>
      <w:proofErr w:type="spellStart"/>
      <w:r w:rsidR="0087374D" w:rsidRPr="003B1561">
        <w:t>eiertagsarbeit</w:t>
      </w:r>
      <w:proofErr w:type="spellEnd"/>
    </w:p>
    <w:p w14:paraId="63B316FF" w14:textId="2D82B6BC" w:rsidR="00657929" w:rsidRDefault="0087374D" w:rsidP="00C02585">
      <w:pPr>
        <w:pStyle w:val="AufzhlungenKlifonichtfett"/>
        <w:numPr>
          <w:ilvl w:val="0"/>
          <w:numId w:val="0"/>
        </w:numPr>
        <w:ind w:left="568"/>
      </w:pPr>
      <w:r w:rsidRPr="00657929">
        <w:t xml:space="preserve">Der Arbeitnehmer, der am Feiertag beschäftigt wird, erhält zusätzlich zum normalen Entgelt auch noch </w:t>
      </w:r>
      <w:r w:rsidR="00A27086">
        <w:t xml:space="preserve">das Entgelt nach dem </w:t>
      </w:r>
      <w:r w:rsidRPr="00657929">
        <w:t xml:space="preserve">Feiertagsruhegesetz. Am 19.12.2024 </w:t>
      </w:r>
      <w:r w:rsidR="00415701" w:rsidRPr="00657929">
        <w:t xml:space="preserve">hat das </w:t>
      </w:r>
      <w:r w:rsidRPr="00657929">
        <w:t>BFG entschieden, das</w:t>
      </w:r>
      <w:r w:rsidR="00415701" w:rsidRPr="00657929">
        <w:t>s das</w:t>
      </w:r>
      <w:r w:rsidRPr="00657929">
        <w:t xml:space="preserve"> Feiertagsarbeitsentgelt kein steuerfreier Zuschlag</w:t>
      </w:r>
      <w:r w:rsidR="00415701" w:rsidRPr="00657929">
        <w:t xml:space="preserve"> sei</w:t>
      </w:r>
      <w:r w:rsidRPr="00657929">
        <w:t xml:space="preserve">, sondern normal zu besteuern ist. Das BMF hat </w:t>
      </w:r>
      <w:r w:rsidRPr="00657929">
        <w:lastRenderedPageBreak/>
        <w:t xml:space="preserve">daraufhin in einer Anfragebeantwortung ausgesprochen, dass diese strenge Rechtsansicht ab 1.1.2025 anzuwenden ist. Nur wenn neben dem Feiertagsentgelt ein gesonderter Zuschlag für die Feiertagsarbeit gezahlt wird, sei dieser steuerfrei. Mit der gesetzlichen Änderung wurde nunmehr mit Wirkung ab 1.1.2026 die </w:t>
      </w:r>
      <w:r w:rsidRPr="00657929">
        <w:rPr>
          <w:b/>
          <w:bCs/>
        </w:rPr>
        <w:t>Steuerfreiheit des Feiertagsarbeitsentgelts im Rahmen des Freibetrages bis € 400</w:t>
      </w:r>
      <w:r w:rsidR="004544E3" w:rsidRPr="00657929">
        <w:rPr>
          <w:b/>
          <w:bCs/>
        </w:rPr>
        <w:t> </w:t>
      </w:r>
      <w:r w:rsidRPr="00657929">
        <w:rPr>
          <w:b/>
          <w:bCs/>
        </w:rPr>
        <w:t>/</w:t>
      </w:r>
      <w:r w:rsidR="004544E3" w:rsidRPr="00657929">
        <w:rPr>
          <w:b/>
          <w:bCs/>
        </w:rPr>
        <w:t> </w:t>
      </w:r>
      <w:r w:rsidRPr="00657929">
        <w:rPr>
          <w:b/>
          <w:bCs/>
        </w:rPr>
        <w:t>Monat</w:t>
      </w:r>
      <w:r w:rsidRPr="00657929">
        <w:t xml:space="preserve"> wieder hergestellt.</w:t>
      </w:r>
    </w:p>
    <w:p w14:paraId="7ADFFD0E" w14:textId="0AA91A79" w:rsidR="0087374D" w:rsidRDefault="00657929" w:rsidP="00C02585">
      <w:pPr>
        <w:shd w:val="clear" w:color="auto" w:fill="B8CCE4" w:themeFill="accent1" w:themeFillTint="66"/>
        <w:spacing w:line="276" w:lineRule="auto"/>
        <w:ind w:left="568"/>
        <w:contextualSpacing/>
        <w:jc w:val="both"/>
        <w:rPr>
          <w:rFonts w:cs="Arial"/>
        </w:rPr>
      </w:pPr>
      <w:r w:rsidRPr="00657929">
        <w:rPr>
          <w:rFonts w:cs="Arial"/>
          <w:b/>
          <w:bCs/>
        </w:rPr>
        <w:t>Hinweis</w:t>
      </w:r>
      <w:r>
        <w:rPr>
          <w:rFonts w:cs="Arial"/>
        </w:rPr>
        <w:t xml:space="preserve">: </w:t>
      </w:r>
      <w:r w:rsidR="0087374D" w:rsidRPr="00415701">
        <w:rPr>
          <w:rFonts w:cs="Arial"/>
        </w:rPr>
        <w:t xml:space="preserve">Für die Monate Jänner 2026 bis zur Anpassung der Lohnverrechnungssoftware soll die neue Steuerbefreiung vom Arbeitgeber rückwirkend durch Aufrollung der Lohnverrechnung so rasch wie möglich berücksichtigt werden. </w:t>
      </w:r>
    </w:p>
    <w:p w14:paraId="4691F268" w14:textId="77777777" w:rsidR="0087374D" w:rsidRPr="00D10836" w:rsidRDefault="0087374D" w:rsidP="00D10836">
      <w:pPr>
        <w:spacing w:line="276" w:lineRule="auto"/>
        <w:jc w:val="both"/>
        <w:rPr>
          <w:rFonts w:cs="Arial"/>
        </w:rPr>
      </w:pPr>
    </w:p>
    <w:p w14:paraId="2CA23544" w14:textId="77777777" w:rsidR="00C02585" w:rsidRDefault="0087374D" w:rsidP="00A27086">
      <w:pPr>
        <w:pStyle w:val="berschrift2"/>
      </w:pPr>
      <w:r w:rsidRPr="00C919B0">
        <w:t>Start-Up-Mitarbeiterbeteiligung</w:t>
      </w:r>
      <w:r w:rsidRPr="00133BB5">
        <w:t xml:space="preserve"> </w:t>
      </w:r>
    </w:p>
    <w:p w14:paraId="680D6442" w14:textId="14695513" w:rsidR="0087374D" w:rsidRPr="00657929" w:rsidRDefault="0087374D" w:rsidP="00C02585">
      <w:pPr>
        <w:pStyle w:val="AufzhlungenKlifonichtfett"/>
        <w:numPr>
          <w:ilvl w:val="0"/>
          <w:numId w:val="0"/>
        </w:numPr>
        <w:ind w:left="568"/>
      </w:pPr>
      <w:r w:rsidRPr="003B1561">
        <w:t>Die bisherige Möglichkeit, dass Mitarbeiter ihre virtuellen Gesellschaftsanteile („</w:t>
      </w:r>
      <w:proofErr w:type="spellStart"/>
      <w:r w:rsidRPr="003B1561">
        <w:t>phantom</w:t>
      </w:r>
      <w:proofErr w:type="spellEnd"/>
      <w:r w:rsidRPr="003B1561">
        <w:t xml:space="preserve"> </w:t>
      </w:r>
      <w:proofErr w:type="spellStart"/>
      <w:r w:rsidRPr="003B1561">
        <w:t>shares</w:t>
      </w:r>
      <w:proofErr w:type="spellEnd"/>
      <w:r w:rsidRPr="003B1561">
        <w:t>“) am Arbeitgeberunternehmen steuerfrei auf Start-Up-Mitarbeiterbeteiligungen umstellen, wäre am 31.12.2025 ausgelaufen. Die Regelung wurde nunmehr um ein weiteres Jahr bis 31.12.2026 verlängert.</w:t>
      </w:r>
    </w:p>
    <w:p w14:paraId="6A65E054" w14:textId="77777777" w:rsidR="0087374D" w:rsidRPr="0087374D" w:rsidRDefault="0087374D" w:rsidP="003E18C8">
      <w:pPr>
        <w:spacing w:line="276" w:lineRule="auto"/>
        <w:ind w:right="-1"/>
        <w:jc w:val="both"/>
        <w:rPr>
          <w:rFonts w:cs="Arial"/>
        </w:rPr>
      </w:pPr>
    </w:p>
    <w:p w14:paraId="2F3813EA" w14:textId="4D27B5A8" w:rsidR="00604A7A" w:rsidRPr="00D10836" w:rsidRDefault="00657929" w:rsidP="00A27086">
      <w:pPr>
        <w:pStyle w:val="berschrift2"/>
      </w:pPr>
      <w:r w:rsidRPr="00D10836">
        <w:t>Mit Ende 2025 ausgelaufen sind folgende Regelungen</w:t>
      </w:r>
      <w:r w:rsidR="00D10836" w:rsidRPr="00D10836">
        <w:t>:</w:t>
      </w:r>
    </w:p>
    <w:p w14:paraId="3559AE2C" w14:textId="27F16776" w:rsidR="00D10836" w:rsidRPr="00133BB5" w:rsidRDefault="00D10836" w:rsidP="003B1561">
      <w:pPr>
        <w:pStyle w:val="AufzhlungenKlifonichtfett"/>
      </w:pPr>
      <w:r w:rsidRPr="003B1561">
        <w:t>Der</w:t>
      </w:r>
      <w:r w:rsidRPr="00133BB5">
        <w:t xml:space="preserve"> im Jahr 2025 </w:t>
      </w:r>
      <w:r w:rsidR="00B43460">
        <w:t xml:space="preserve">für </w:t>
      </w:r>
      <w:r w:rsidR="00B43460" w:rsidRPr="00C02585">
        <w:rPr>
          <w:b/>
          <w:bCs/>
        </w:rPr>
        <w:t>Dienstreisen</w:t>
      </w:r>
      <w:r w:rsidR="00B43460">
        <w:t xml:space="preserve"> </w:t>
      </w:r>
      <w:r w:rsidRPr="00133BB5">
        <w:t xml:space="preserve">eingeführte </w:t>
      </w:r>
      <w:r w:rsidRPr="00560995">
        <w:rPr>
          <w:b/>
          <w:bCs/>
        </w:rPr>
        <w:t>pauschale</w:t>
      </w:r>
      <w:r w:rsidRPr="00133BB5">
        <w:t xml:space="preserve"> </w:t>
      </w:r>
      <w:r w:rsidRPr="00560995">
        <w:rPr>
          <w:b/>
          <w:bCs/>
        </w:rPr>
        <w:t>Fahrtkostenersatz</w:t>
      </w:r>
      <w:r w:rsidRPr="00133BB5">
        <w:t xml:space="preserve"> </w:t>
      </w:r>
      <w:r w:rsidR="00B43460">
        <w:t xml:space="preserve">in Höhe des pauschalen Beförderungszuschusses laut RGV </w:t>
      </w:r>
      <w:r w:rsidRPr="00133BB5">
        <w:t xml:space="preserve">tritt </w:t>
      </w:r>
      <w:r w:rsidRPr="00560995">
        <w:rPr>
          <w:b/>
          <w:bCs/>
        </w:rPr>
        <w:t>ab 2026 außer Kraft</w:t>
      </w:r>
      <w:r w:rsidRPr="00133BB5">
        <w:t>.</w:t>
      </w:r>
      <w:r w:rsidR="00B43460">
        <w:t xml:space="preserve"> Der steuerfreie Ersatz von Kosten für </w:t>
      </w:r>
      <w:r w:rsidR="00B43460" w:rsidRPr="00C02585">
        <w:rPr>
          <w:b/>
          <w:bCs/>
        </w:rPr>
        <w:t>Massenbeförderungsmittel</w:t>
      </w:r>
      <w:r w:rsidR="00B43460">
        <w:t xml:space="preserve"> ist künftig entweder </w:t>
      </w:r>
      <w:r w:rsidR="00B43460" w:rsidRPr="00C02585">
        <w:t>laut</w:t>
      </w:r>
      <w:r w:rsidR="00B43460" w:rsidRPr="00560995">
        <w:rPr>
          <w:b/>
          <w:bCs/>
        </w:rPr>
        <w:t xml:space="preserve"> Beleg</w:t>
      </w:r>
      <w:r w:rsidR="00B43460">
        <w:t xml:space="preserve"> </w:t>
      </w:r>
      <w:r w:rsidR="00C02585">
        <w:t xml:space="preserve">möglich </w:t>
      </w:r>
      <w:r w:rsidR="00B43460">
        <w:t xml:space="preserve">oder pauschal durch Ansatz der </w:t>
      </w:r>
      <w:r w:rsidR="00B43460" w:rsidRPr="00560995">
        <w:rPr>
          <w:b/>
          <w:bCs/>
        </w:rPr>
        <w:t>fiktiven Kosten für das günstigste Massenbeförderungsmitte</w:t>
      </w:r>
      <w:r w:rsidR="00B43460">
        <w:t>l.</w:t>
      </w:r>
    </w:p>
    <w:p w14:paraId="58C5D223" w14:textId="77777777" w:rsidR="00115A93" w:rsidRDefault="00D10836" w:rsidP="00560995">
      <w:pPr>
        <w:pStyle w:val="AufzhlungenKlifonichtfett"/>
        <w:rPr>
          <w:lang w:eastAsia="de-AT"/>
        </w:rPr>
      </w:pPr>
      <w:r w:rsidRPr="00133BB5">
        <w:rPr>
          <w:lang w:eastAsia="de-AT"/>
        </w:rPr>
        <w:t xml:space="preserve">Die letztmalig im Jahr 2025 </w:t>
      </w:r>
      <w:r w:rsidRPr="00133BB5">
        <w:rPr>
          <w:b/>
          <w:bCs/>
          <w:lang w:eastAsia="de-AT"/>
        </w:rPr>
        <w:t>steuerfrei auszahlbare Mitarbeiterprämie</w:t>
      </w:r>
      <w:r w:rsidRPr="00133BB5">
        <w:rPr>
          <w:lang w:eastAsia="de-AT"/>
        </w:rPr>
        <w:t xml:space="preserve"> von € 1.000 ist bei Aufrollung des Lohnzahlungszeitraums bis zum 15.2.2026 noch möglich. </w:t>
      </w:r>
      <w:r w:rsidR="00B43460" w:rsidRPr="00B43460">
        <w:rPr>
          <w:b/>
          <w:bCs/>
          <w:lang w:eastAsia="de-AT"/>
        </w:rPr>
        <w:t>Diese Prä</w:t>
      </w:r>
      <w:r w:rsidR="00B43460" w:rsidRPr="00133BB5">
        <w:rPr>
          <w:b/>
          <w:bCs/>
          <w:lang w:eastAsia="de-AT"/>
        </w:rPr>
        <w:t xml:space="preserve">mie entfällt </w:t>
      </w:r>
      <w:r w:rsidR="00B43460">
        <w:rPr>
          <w:b/>
          <w:bCs/>
          <w:lang w:eastAsia="de-AT"/>
        </w:rPr>
        <w:t>a</w:t>
      </w:r>
      <w:r w:rsidRPr="00133BB5">
        <w:rPr>
          <w:b/>
          <w:bCs/>
          <w:lang w:eastAsia="de-AT"/>
        </w:rPr>
        <w:t>b 2026</w:t>
      </w:r>
      <w:r w:rsidRPr="00133BB5">
        <w:rPr>
          <w:lang w:eastAsia="de-AT"/>
        </w:rPr>
        <w:t>.</w:t>
      </w:r>
      <w:r w:rsidR="00B43460">
        <w:rPr>
          <w:lang w:eastAsia="de-AT"/>
        </w:rPr>
        <w:t xml:space="preserve"> </w:t>
      </w:r>
    </w:p>
    <w:p w14:paraId="031FFB70" w14:textId="731ADE20" w:rsidR="00D10836" w:rsidRPr="00560995" w:rsidRDefault="00115A93" w:rsidP="00115A93">
      <w:pPr>
        <w:pStyle w:val="AufzhlungenKlifonichtfett"/>
        <w:numPr>
          <w:ilvl w:val="0"/>
          <w:numId w:val="0"/>
        </w:numPr>
        <w:shd w:val="clear" w:color="auto" w:fill="B8CCE4" w:themeFill="accent1" w:themeFillTint="66"/>
        <w:ind w:left="568"/>
        <w:rPr>
          <w:lang w:eastAsia="de-AT"/>
        </w:rPr>
      </w:pPr>
      <w:r w:rsidRPr="00115A93">
        <w:rPr>
          <w:b/>
          <w:bCs/>
          <w:lang w:eastAsia="de-AT"/>
        </w:rPr>
        <w:t>Hinweis</w:t>
      </w:r>
      <w:r>
        <w:rPr>
          <w:lang w:eastAsia="de-AT"/>
        </w:rPr>
        <w:t xml:space="preserve">: </w:t>
      </w:r>
      <w:r w:rsidR="00A27086">
        <w:rPr>
          <w:lang w:eastAsia="de-AT"/>
        </w:rPr>
        <w:t>Allerdings ist auch für 2026 eine ähnliche steuerfreie Mitarbeiterprämie geplant</w:t>
      </w:r>
      <w:r>
        <w:rPr>
          <w:lang w:eastAsia="de-AT"/>
        </w:rPr>
        <w:t>. E</w:t>
      </w:r>
      <w:r w:rsidR="00A27086">
        <w:rPr>
          <w:lang w:eastAsia="de-AT"/>
        </w:rPr>
        <w:t>inen diesbezüglichen Gesetzesvorschlag hat das BMF bis 31.5.2026 auszuarbeiten.</w:t>
      </w:r>
    </w:p>
    <w:p w14:paraId="40CC8A5C" w14:textId="50E07A79" w:rsidR="00C378C7" w:rsidRPr="00133BB5" w:rsidRDefault="00C378C7" w:rsidP="00560995">
      <w:pPr>
        <w:pStyle w:val="AufzhlungenKlifonichtfett"/>
        <w:rPr>
          <w:lang w:eastAsia="de-AT"/>
        </w:rPr>
      </w:pPr>
      <w:r w:rsidRPr="00133BB5">
        <w:rPr>
          <w:lang w:eastAsia="de-AT"/>
        </w:rPr>
        <w:t xml:space="preserve">Die </w:t>
      </w:r>
      <w:r w:rsidR="00B43460">
        <w:rPr>
          <w:lang w:eastAsia="de-AT"/>
        </w:rPr>
        <w:t xml:space="preserve">steuerfreie </w:t>
      </w:r>
      <w:r w:rsidRPr="00133BB5">
        <w:rPr>
          <w:lang w:eastAsia="de-AT"/>
        </w:rPr>
        <w:t xml:space="preserve">pauschale Vergütung </w:t>
      </w:r>
      <w:r w:rsidR="00B43460">
        <w:rPr>
          <w:lang w:eastAsia="de-AT"/>
        </w:rPr>
        <w:t xml:space="preserve">von </w:t>
      </w:r>
      <w:r w:rsidR="00B43460" w:rsidRPr="00133BB5">
        <w:rPr>
          <w:lang w:eastAsia="de-AT"/>
        </w:rPr>
        <w:t>€ 30</w:t>
      </w:r>
      <w:r w:rsidR="003E092A">
        <w:rPr>
          <w:lang w:eastAsia="de-AT"/>
        </w:rPr>
        <w:t> </w:t>
      </w:r>
      <w:r w:rsidR="00B43460" w:rsidRPr="00133BB5">
        <w:rPr>
          <w:lang w:eastAsia="de-AT"/>
        </w:rPr>
        <w:t>/</w:t>
      </w:r>
      <w:r w:rsidR="003E092A">
        <w:rPr>
          <w:lang w:eastAsia="de-AT"/>
        </w:rPr>
        <w:t> </w:t>
      </w:r>
      <w:r w:rsidR="00B43460" w:rsidRPr="00133BB5">
        <w:rPr>
          <w:lang w:eastAsia="de-AT"/>
        </w:rPr>
        <w:t xml:space="preserve">Monat </w:t>
      </w:r>
      <w:r w:rsidR="00B43460">
        <w:rPr>
          <w:lang w:eastAsia="de-AT"/>
        </w:rPr>
        <w:t xml:space="preserve">für </w:t>
      </w:r>
      <w:r w:rsidR="00A27086">
        <w:rPr>
          <w:lang w:eastAsia="de-AT"/>
        </w:rPr>
        <w:t xml:space="preserve">die Kosten des </w:t>
      </w:r>
      <w:proofErr w:type="gramStart"/>
      <w:r w:rsidR="00A27086">
        <w:rPr>
          <w:lang w:eastAsia="de-AT"/>
        </w:rPr>
        <w:t xml:space="preserve">Ladens </w:t>
      </w:r>
      <w:r w:rsidRPr="00133BB5">
        <w:rPr>
          <w:lang w:eastAsia="de-AT"/>
        </w:rPr>
        <w:t xml:space="preserve"> von</w:t>
      </w:r>
      <w:proofErr w:type="gramEnd"/>
      <w:r w:rsidRPr="00133BB5">
        <w:rPr>
          <w:lang w:eastAsia="de-AT"/>
        </w:rPr>
        <w:t xml:space="preserve"> E-</w:t>
      </w:r>
      <w:r w:rsidR="00B43460">
        <w:rPr>
          <w:lang w:eastAsia="de-AT"/>
        </w:rPr>
        <w:t>Firmenwagen durch den Arbeitnehmer zu Hause</w:t>
      </w:r>
      <w:r w:rsidRPr="00133BB5">
        <w:rPr>
          <w:lang w:eastAsia="de-AT"/>
        </w:rPr>
        <w:t xml:space="preserve"> wird </w:t>
      </w:r>
      <w:r w:rsidR="00115A93">
        <w:rPr>
          <w:lang w:eastAsia="de-AT"/>
        </w:rPr>
        <w:t>gestrichen</w:t>
      </w:r>
      <w:r w:rsidRPr="00133BB5">
        <w:rPr>
          <w:lang w:eastAsia="de-AT"/>
        </w:rPr>
        <w:t>.</w:t>
      </w:r>
    </w:p>
    <w:p w14:paraId="706A1CBE" w14:textId="18980DE3" w:rsidR="00C378C7" w:rsidRPr="00133BB5" w:rsidRDefault="00C378C7" w:rsidP="00560995">
      <w:pPr>
        <w:pStyle w:val="AufzhlungenKlifonichtfett"/>
        <w:rPr>
          <w:lang w:eastAsia="de-AT"/>
        </w:rPr>
      </w:pPr>
      <w:r w:rsidRPr="00133BB5">
        <w:rPr>
          <w:lang w:eastAsia="de-AT"/>
        </w:rPr>
        <w:t>Die Übernahme der Pensionsversicherungsbeiträge durch den Bund für erwerbstätige Pensionisten endet wie vorgesehen 2025.</w:t>
      </w:r>
    </w:p>
    <w:p w14:paraId="130B58C8" w14:textId="77777777" w:rsidR="00D10836" w:rsidRDefault="00D10836" w:rsidP="003E18C8">
      <w:pPr>
        <w:spacing w:line="276" w:lineRule="auto"/>
        <w:ind w:right="-1"/>
        <w:jc w:val="both"/>
        <w:rPr>
          <w:rFonts w:cs="Arial"/>
        </w:rPr>
      </w:pPr>
    </w:p>
    <w:p w14:paraId="0DD89A5E" w14:textId="77777777" w:rsidR="00D10836" w:rsidRPr="00EA359E" w:rsidRDefault="00D10836" w:rsidP="003E18C8">
      <w:pPr>
        <w:spacing w:line="276" w:lineRule="auto"/>
        <w:ind w:right="-1"/>
        <w:jc w:val="both"/>
        <w:rPr>
          <w:rFonts w:cs="Arial"/>
        </w:rPr>
      </w:pPr>
    </w:p>
    <w:p w14:paraId="29E1CA51" w14:textId="1AEA3D9A" w:rsidR="00A70659" w:rsidRPr="00CE55D5" w:rsidRDefault="00F1173A" w:rsidP="00BB6D2E">
      <w:pPr>
        <w:pStyle w:val="berschrift1"/>
        <w:rPr>
          <w:color w:val="004077"/>
          <w:sz w:val="22"/>
          <w:szCs w:val="22"/>
        </w:rPr>
      </w:pPr>
      <w:bookmarkStart w:id="6" w:name="_Toc157547934"/>
      <w:bookmarkStart w:id="7" w:name="_Toc220955343"/>
      <w:r w:rsidRPr="00CE55D5">
        <w:rPr>
          <w:color w:val="004077"/>
          <w:sz w:val="22"/>
          <w:szCs w:val="22"/>
        </w:rPr>
        <w:t>Ä</w:t>
      </w:r>
      <w:r w:rsidR="004D6B12" w:rsidRPr="00CE55D5">
        <w:rPr>
          <w:color w:val="004077"/>
          <w:sz w:val="22"/>
          <w:szCs w:val="22"/>
        </w:rPr>
        <w:t>NDERUNGEN IN DER SOZIALVERSICHERUNG 202</w:t>
      </w:r>
      <w:bookmarkEnd w:id="6"/>
      <w:r w:rsidR="004D6B12" w:rsidRPr="00CE55D5">
        <w:rPr>
          <w:color w:val="004077"/>
          <w:sz w:val="22"/>
          <w:szCs w:val="22"/>
        </w:rPr>
        <w:t>6</w:t>
      </w:r>
      <w:bookmarkEnd w:id="7"/>
    </w:p>
    <w:p w14:paraId="6724BFFA" w14:textId="4989441F" w:rsidR="005E0DEF" w:rsidRPr="00EA359E" w:rsidRDefault="003F0029" w:rsidP="003E18C8">
      <w:pPr>
        <w:spacing w:line="276" w:lineRule="auto"/>
        <w:ind w:right="-1"/>
        <w:jc w:val="both"/>
        <w:rPr>
          <w:rFonts w:cs="Arial"/>
        </w:rPr>
      </w:pPr>
      <w:r w:rsidRPr="00EA359E">
        <w:rPr>
          <w:rFonts w:cs="Arial"/>
        </w:rPr>
        <w:t xml:space="preserve">Mit </w:t>
      </w:r>
      <w:r w:rsidRPr="00C926A9">
        <w:rPr>
          <w:rFonts w:cs="Arial"/>
        </w:rPr>
        <w:t xml:space="preserve">Beginn </w:t>
      </w:r>
      <w:r w:rsidRPr="00C926A9">
        <w:rPr>
          <w:rFonts w:cs="Arial"/>
          <w:color w:val="000000" w:themeColor="text1"/>
        </w:rPr>
        <w:t>jede</w:t>
      </w:r>
      <w:r w:rsidR="00C926A9" w:rsidRPr="00C926A9">
        <w:rPr>
          <w:rFonts w:cs="Arial"/>
          <w:color w:val="000000" w:themeColor="text1"/>
        </w:rPr>
        <w:t>s</w:t>
      </w:r>
      <w:r w:rsidRPr="00C926A9">
        <w:rPr>
          <w:rFonts w:cs="Arial"/>
          <w:color w:val="000000" w:themeColor="text1"/>
        </w:rPr>
        <w:t xml:space="preserve"> Jahres </w:t>
      </w:r>
      <w:r w:rsidRPr="00C926A9">
        <w:rPr>
          <w:rFonts w:cs="Arial"/>
        </w:rPr>
        <w:t>werden die SV-Werte angehoben. Dazu finden Sie in der Beilage eine Tabelle mit allen Werten 202</w:t>
      </w:r>
      <w:r w:rsidR="00C378C7">
        <w:rPr>
          <w:rFonts w:cs="Arial"/>
        </w:rPr>
        <w:t>6</w:t>
      </w:r>
      <w:r w:rsidRPr="00C926A9">
        <w:rPr>
          <w:rFonts w:cs="Arial"/>
        </w:rPr>
        <w:t xml:space="preserve"> im Überblick</w:t>
      </w:r>
      <w:r w:rsidRPr="00EA359E">
        <w:rPr>
          <w:rFonts w:cs="Arial"/>
        </w:rPr>
        <w:t xml:space="preserve">. </w:t>
      </w:r>
      <w:r w:rsidR="00796A01">
        <w:rPr>
          <w:rFonts w:cs="Arial"/>
        </w:rPr>
        <w:t>Was sich noch ab 2026 in der SV ändert, lesen Sie im folgenden Überblick.</w:t>
      </w:r>
    </w:p>
    <w:p w14:paraId="3A79E1A1" w14:textId="77777777" w:rsidR="003F0029" w:rsidRPr="00EA359E" w:rsidRDefault="003F0029" w:rsidP="003E18C8">
      <w:pPr>
        <w:spacing w:line="276" w:lineRule="auto"/>
        <w:ind w:right="-1"/>
        <w:jc w:val="both"/>
        <w:rPr>
          <w:rFonts w:cs="Arial"/>
          <w:b/>
        </w:rPr>
      </w:pPr>
    </w:p>
    <w:p w14:paraId="6644AC1B" w14:textId="50B84750" w:rsidR="003F0029" w:rsidRPr="00EA359E" w:rsidRDefault="003F0029" w:rsidP="00F1173A">
      <w:pPr>
        <w:pStyle w:val="berschrift2"/>
      </w:pPr>
      <w:r w:rsidRPr="00EA359E">
        <w:rPr>
          <w:lang w:val="de-DE"/>
        </w:rPr>
        <w:t>Höhe de</w:t>
      </w:r>
      <w:r w:rsidR="006C7C39" w:rsidRPr="00EA359E">
        <w:rPr>
          <w:lang w:val="de-DE"/>
        </w:rPr>
        <w:t>s</w:t>
      </w:r>
      <w:r w:rsidRPr="00EA359E">
        <w:rPr>
          <w:lang w:val="de-DE"/>
        </w:rPr>
        <w:t xml:space="preserve"> </w:t>
      </w:r>
      <w:r w:rsidR="0079200C" w:rsidRPr="00EA359E">
        <w:rPr>
          <w:lang w:val="de-DE"/>
        </w:rPr>
        <w:t>Säumniszuschl</w:t>
      </w:r>
      <w:r w:rsidR="006C7C39" w:rsidRPr="00EA359E">
        <w:rPr>
          <w:lang w:val="de-DE"/>
        </w:rPr>
        <w:t>a</w:t>
      </w:r>
      <w:r w:rsidR="0079200C" w:rsidRPr="00EA359E">
        <w:rPr>
          <w:lang w:val="de-DE"/>
        </w:rPr>
        <w:t>g</w:t>
      </w:r>
      <w:r w:rsidR="006C7C39" w:rsidRPr="00EA359E">
        <w:rPr>
          <w:lang w:val="de-DE"/>
        </w:rPr>
        <w:t>s</w:t>
      </w:r>
      <w:r w:rsidRPr="00EA359E">
        <w:rPr>
          <w:lang w:val="de-DE"/>
        </w:rPr>
        <w:t xml:space="preserve"> in der Sozialversicherung</w:t>
      </w:r>
    </w:p>
    <w:p w14:paraId="7031022B" w14:textId="347552D1" w:rsidR="00A26D62" w:rsidRPr="00EA359E" w:rsidRDefault="00184361" w:rsidP="00EE68A7">
      <w:pPr>
        <w:spacing w:line="276" w:lineRule="auto"/>
        <w:ind w:right="-1"/>
        <w:jc w:val="both"/>
        <w:rPr>
          <w:rFonts w:cs="Arial"/>
          <w:b/>
        </w:rPr>
      </w:pPr>
      <w:r>
        <w:rPr>
          <w:rFonts w:cs="Arial"/>
        </w:rPr>
        <w:t>Grundsätzlich fällt je Meldeverstoß e</w:t>
      </w:r>
      <w:r w:rsidR="006C7C39" w:rsidRPr="00EA359E">
        <w:rPr>
          <w:rFonts w:cs="Arial"/>
        </w:rPr>
        <w:t xml:space="preserve">in </w:t>
      </w:r>
      <w:r w:rsidR="006C7C39" w:rsidRPr="00EA359E">
        <w:rPr>
          <w:rFonts w:cs="Arial"/>
          <w:b/>
          <w:bCs/>
          <w:lang w:val="de-DE"/>
        </w:rPr>
        <w:t>Säumniszuschlag</w:t>
      </w:r>
      <w:r w:rsidR="006C7C39" w:rsidRPr="00EA359E">
        <w:rPr>
          <w:rFonts w:cs="Arial"/>
          <w:lang w:val="de-DE"/>
        </w:rPr>
        <w:t xml:space="preserve"> von </w:t>
      </w:r>
      <w:r w:rsidR="006C7C39" w:rsidRPr="00EA359E">
        <w:rPr>
          <w:rFonts w:cs="Arial"/>
          <w:b/>
          <w:bCs/>
          <w:lang w:val="de-DE"/>
        </w:rPr>
        <w:t xml:space="preserve">€ </w:t>
      </w:r>
      <w:r w:rsidR="006E2B21">
        <w:rPr>
          <w:rFonts w:cs="Arial"/>
          <w:b/>
          <w:bCs/>
          <w:lang w:val="de-DE"/>
        </w:rPr>
        <w:t>70</w:t>
      </w:r>
      <w:r w:rsidR="006C7C39" w:rsidRPr="00EA359E">
        <w:rPr>
          <w:rFonts w:cs="Arial"/>
          <w:b/>
          <w:bCs/>
          <w:lang w:val="de-DE"/>
        </w:rPr>
        <w:t xml:space="preserve"> </w:t>
      </w:r>
      <w:r w:rsidR="00E1683F" w:rsidRPr="00EA359E">
        <w:rPr>
          <w:rFonts w:cs="Arial"/>
          <w:lang w:val="de-DE"/>
        </w:rPr>
        <w:t>an</w:t>
      </w:r>
      <w:r w:rsidR="00A26D62" w:rsidRPr="00EA359E">
        <w:rPr>
          <w:rFonts w:cs="Arial"/>
          <w:lang w:val="de-DE"/>
        </w:rPr>
        <w:t>.</w:t>
      </w:r>
      <w:r>
        <w:rPr>
          <w:rFonts w:cs="Arial"/>
          <w:lang w:val="de-DE"/>
        </w:rPr>
        <w:t xml:space="preserve"> Je nach Dauer der </w:t>
      </w:r>
      <w:r w:rsidRPr="00EA359E">
        <w:rPr>
          <w:rFonts w:cs="Arial"/>
          <w:lang w:val="de-DE"/>
        </w:rPr>
        <w:t>verspätete</w:t>
      </w:r>
      <w:r>
        <w:rPr>
          <w:rFonts w:cs="Arial"/>
          <w:lang w:val="de-DE"/>
        </w:rPr>
        <w:t>n</w:t>
      </w:r>
      <w:r w:rsidRPr="00EA359E">
        <w:rPr>
          <w:rFonts w:cs="Arial"/>
          <w:lang w:val="de-DE"/>
        </w:rPr>
        <w:t xml:space="preserve"> Übermittlung der </w:t>
      </w:r>
      <w:r w:rsidR="002B2A56">
        <w:rPr>
          <w:rFonts w:cs="Arial"/>
          <w:lang w:val="de-DE"/>
        </w:rPr>
        <w:t>monatlichen Beitragsgrundlagenmeldung (</w:t>
      </w:r>
      <w:proofErr w:type="spellStart"/>
      <w:r w:rsidR="002B2A56">
        <w:rPr>
          <w:rFonts w:cs="Arial"/>
          <w:lang w:val="de-DE"/>
        </w:rPr>
        <w:t>m</w:t>
      </w:r>
      <w:r w:rsidRPr="00EA359E">
        <w:rPr>
          <w:rFonts w:cs="Arial"/>
          <w:lang w:val="de-DE"/>
        </w:rPr>
        <w:t>BGM</w:t>
      </w:r>
      <w:proofErr w:type="spellEnd"/>
      <w:r w:rsidR="002B2A56">
        <w:rPr>
          <w:rFonts w:cs="Arial"/>
          <w:lang w:val="de-DE"/>
        </w:rPr>
        <w:t>)</w:t>
      </w:r>
      <w:r w:rsidRPr="00EA359E">
        <w:rPr>
          <w:rFonts w:cs="Arial"/>
          <w:lang w:val="de-DE"/>
        </w:rPr>
        <w:t xml:space="preserve"> </w:t>
      </w:r>
      <w:r>
        <w:rPr>
          <w:rFonts w:cs="Arial"/>
          <w:lang w:val="de-DE"/>
        </w:rPr>
        <w:t xml:space="preserve">greift eine Staffelung, wobei für eine Überschreitung von </w:t>
      </w:r>
      <w:r w:rsidRPr="00EA359E">
        <w:rPr>
          <w:rFonts w:cs="Arial"/>
        </w:rPr>
        <w:t xml:space="preserve">bis zu fünf </w:t>
      </w:r>
      <w:r w:rsidRPr="00F46514">
        <w:rPr>
          <w:rFonts w:cs="Arial"/>
        </w:rPr>
        <w:t xml:space="preserve">Tagen </w:t>
      </w:r>
      <w:r w:rsidRPr="00EA359E">
        <w:rPr>
          <w:rFonts w:cs="Arial"/>
        </w:rPr>
        <w:t>€ 5, bis zehn Tage</w:t>
      </w:r>
      <w:r>
        <w:rPr>
          <w:rFonts w:cs="Arial"/>
        </w:rPr>
        <w:t>n</w:t>
      </w:r>
      <w:r w:rsidRPr="00EA359E">
        <w:rPr>
          <w:rFonts w:cs="Arial"/>
        </w:rPr>
        <w:t xml:space="preserve"> € 1</w:t>
      </w:r>
      <w:r>
        <w:rPr>
          <w:rFonts w:cs="Arial"/>
        </w:rPr>
        <w:t>2</w:t>
      </w:r>
      <w:r w:rsidRPr="00EA359E">
        <w:rPr>
          <w:rFonts w:cs="Arial"/>
        </w:rPr>
        <w:t>, bis Monatsende € 1</w:t>
      </w:r>
      <w:r>
        <w:rPr>
          <w:rFonts w:cs="Arial"/>
        </w:rPr>
        <w:t>8</w:t>
      </w:r>
      <w:r w:rsidRPr="00EA359E">
        <w:rPr>
          <w:rFonts w:cs="Arial"/>
        </w:rPr>
        <w:t xml:space="preserve">, danach € </w:t>
      </w:r>
      <w:r>
        <w:rPr>
          <w:rFonts w:cs="Arial"/>
        </w:rPr>
        <w:t xml:space="preserve">70 vorgeschrieben werden. </w:t>
      </w:r>
      <w:r w:rsidRPr="00EA359E">
        <w:rPr>
          <w:rFonts w:cs="Arial"/>
          <w:lang w:val="de-DE"/>
        </w:rPr>
        <w:t>Die Summe aller Säumniszuschläge innerhalb eines Betragszeitraums darf € 1.</w:t>
      </w:r>
      <w:r>
        <w:rPr>
          <w:rFonts w:cs="Arial"/>
          <w:lang w:val="de-DE"/>
        </w:rPr>
        <w:t xml:space="preserve">155 </w:t>
      </w:r>
      <w:r w:rsidRPr="00EA359E">
        <w:rPr>
          <w:rFonts w:cs="Arial"/>
          <w:lang w:val="de-DE"/>
        </w:rPr>
        <w:t>nicht überschreiten.</w:t>
      </w:r>
      <w:r w:rsidR="00EE68A7">
        <w:rPr>
          <w:rFonts w:cs="Arial"/>
          <w:lang w:val="de-DE"/>
        </w:rPr>
        <w:t xml:space="preserve"> </w:t>
      </w:r>
    </w:p>
    <w:p w14:paraId="2FDF54F8" w14:textId="09B5A0A7" w:rsidR="00184361" w:rsidRDefault="00184361" w:rsidP="00115A93">
      <w:pPr>
        <w:jc w:val="both"/>
        <w:rPr>
          <w:b/>
          <w:lang w:val="de-DE"/>
        </w:rPr>
      </w:pPr>
      <w:r>
        <w:rPr>
          <w:lang w:val="de-DE"/>
        </w:rPr>
        <w:t>B</w:t>
      </w:r>
      <w:r w:rsidRPr="00EA359E">
        <w:rPr>
          <w:lang w:val="de-DE"/>
        </w:rPr>
        <w:t xml:space="preserve">ei einer Berichtigung der </w:t>
      </w:r>
      <w:proofErr w:type="spellStart"/>
      <w:r w:rsidRPr="00EA359E">
        <w:rPr>
          <w:lang w:val="de-DE"/>
        </w:rPr>
        <w:t>mBGM</w:t>
      </w:r>
      <w:proofErr w:type="spellEnd"/>
      <w:r w:rsidRPr="00EA359E">
        <w:rPr>
          <w:lang w:val="de-DE"/>
        </w:rPr>
        <w:t xml:space="preserve"> nach 12 Monaten fallen </w:t>
      </w:r>
      <w:r w:rsidRPr="00EA359E">
        <w:rPr>
          <w:b/>
          <w:lang w:val="de-DE"/>
        </w:rPr>
        <w:t xml:space="preserve">Verzugszinsen </w:t>
      </w:r>
      <w:r w:rsidRPr="00EA359E">
        <w:rPr>
          <w:lang w:val="de-DE"/>
        </w:rPr>
        <w:t xml:space="preserve">in Höhe </w:t>
      </w:r>
      <w:r w:rsidRPr="00796A01">
        <w:rPr>
          <w:lang w:val="de-DE"/>
        </w:rPr>
        <w:t xml:space="preserve">von </w:t>
      </w:r>
      <w:r w:rsidRPr="00796A01">
        <w:rPr>
          <w:b/>
          <w:lang w:val="de-DE"/>
        </w:rPr>
        <w:t xml:space="preserve">5,53 % </w:t>
      </w:r>
      <w:r w:rsidRPr="00184361">
        <w:rPr>
          <w:bCs/>
          <w:lang w:val="de-DE"/>
        </w:rPr>
        <w:t xml:space="preserve">(2025: 7,03 %) </w:t>
      </w:r>
      <w:r w:rsidRPr="00184361">
        <w:rPr>
          <w:b/>
          <w:lang w:val="de-DE"/>
        </w:rPr>
        <w:t xml:space="preserve">ab 1.1.2026 </w:t>
      </w:r>
      <w:r w:rsidRPr="00184361">
        <w:rPr>
          <w:lang w:val="de-DE"/>
        </w:rPr>
        <w:t>an</w:t>
      </w:r>
      <w:r>
        <w:rPr>
          <w:b/>
          <w:lang w:val="de-DE"/>
        </w:rPr>
        <w:t>.</w:t>
      </w:r>
    </w:p>
    <w:p w14:paraId="250E269B" w14:textId="77777777" w:rsidR="00EE68A7" w:rsidRDefault="00EE68A7" w:rsidP="00184361">
      <w:pPr>
        <w:rPr>
          <w:b/>
          <w:lang w:val="de-DE"/>
        </w:rPr>
      </w:pPr>
    </w:p>
    <w:p w14:paraId="215205BD" w14:textId="5453DA02" w:rsidR="002E1243" w:rsidRPr="00EA359E" w:rsidRDefault="002E1243" w:rsidP="00F1173A">
      <w:pPr>
        <w:pStyle w:val="berschrift2"/>
      </w:pPr>
      <w:r w:rsidRPr="00133BB5">
        <w:t xml:space="preserve">Regelbedarfssätze </w:t>
      </w:r>
      <w:r w:rsidRPr="00EA359E">
        <w:t>für Unterhaltsleistungen für das Kalenderjahr 202</w:t>
      </w:r>
      <w:r w:rsidR="004544E3">
        <w:t>6</w:t>
      </w:r>
    </w:p>
    <w:p w14:paraId="19449A11" w14:textId="68C85DAB" w:rsidR="002E1243" w:rsidRPr="00EA359E" w:rsidRDefault="002E1243" w:rsidP="00392040">
      <w:pPr>
        <w:ind w:right="-1"/>
        <w:jc w:val="both"/>
        <w:rPr>
          <w:rFonts w:cs="Arial"/>
        </w:rPr>
      </w:pPr>
      <w:r w:rsidRPr="00EA359E">
        <w:rPr>
          <w:rFonts w:cs="Arial"/>
        </w:rPr>
        <w:t xml:space="preserve">Die monatlichen </w:t>
      </w:r>
      <w:r w:rsidR="00FA0E74" w:rsidRPr="00EA359E">
        <w:rPr>
          <w:rFonts w:cs="Arial"/>
        </w:rPr>
        <w:t>Durchschnittsbedarfssätze</w:t>
      </w:r>
      <w:r w:rsidRPr="00EA359E">
        <w:rPr>
          <w:rFonts w:cs="Arial"/>
        </w:rPr>
        <w:t xml:space="preserve"> w</w:t>
      </w:r>
      <w:r w:rsidR="00FA0E74" w:rsidRPr="00EA359E">
        <w:rPr>
          <w:rFonts w:cs="Arial"/>
        </w:rPr>
        <w:t>u</w:t>
      </w:r>
      <w:r w:rsidRPr="00EA359E">
        <w:rPr>
          <w:rFonts w:cs="Arial"/>
        </w:rPr>
        <w:t>rden per 1.1.</w:t>
      </w:r>
      <w:r w:rsidR="00FA0E74" w:rsidRPr="00EA359E">
        <w:rPr>
          <w:rFonts w:cs="Arial"/>
        </w:rPr>
        <w:t>202</w:t>
      </w:r>
      <w:r w:rsidR="004544E3">
        <w:rPr>
          <w:rFonts w:cs="Arial"/>
        </w:rPr>
        <w:t>6</w:t>
      </w:r>
      <w:r w:rsidR="00FA0E74" w:rsidRPr="00EA359E">
        <w:rPr>
          <w:rFonts w:cs="Arial"/>
        </w:rPr>
        <w:t xml:space="preserve"> </w:t>
      </w:r>
      <w:r w:rsidRPr="00EA359E">
        <w:rPr>
          <w:rFonts w:cs="Arial"/>
        </w:rPr>
        <w:t>angepasst</w:t>
      </w:r>
      <w:r w:rsidR="004544E3">
        <w:rPr>
          <w:rFonts w:cs="Arial"/>
        </w:rPr>
        <w:t>.</w:t>
      </w:r>
    </w:p>
    <w:tbl>
      <w:tblPr>
        <w:tblStyle w:val="Tabellenraster"/>
        <w:tblW w:w="9521" w:type="dxa"/>
        <w:tblInd w:w="-5" w:type="dxa"/>
        <w:tblLook w:val="04A0" w:firstRow="1" w:lastRow="0" w:firstColumn="1" w:lastColumn="0" w:noHBand="0" w:noVBand="1"/>
      </w:tblPr>
      <w:tblGrid>
        <w:gridCol w:w="2410"/>
        <w:gridCol w:w="1268"/>
        <w:gridCol w:w="1269"/>
        <w:gridCol w:w="1574"/>
        <w:gridCol w:w="1408"/>
        <w:gridCol w:w="1592"/>
      </w:tblGrid>
      <w:tr w:rsidR="002E1243" w:rsidRPr="00EA359E" w14:paraId="6B8A2825" w14:textId="3E613EA5" w:rsidTr="00C65B9B">
        <w:trPr>
          <w:trHeight w:val="277"/>
        </w:trPr>
        <w:tc>
          <w:tcPr>
            <w:tcW w:w="2410" w:type="dxa"/>
            <w:shd w:val="clear" w:color="auto" w:fill="auto"/>
          </w:tcPr>
          <w:p w14:paraId="1FB80551" w14:textId="65DC0DD3" w:rsidR="005A4615" w:rsidRPr="00EA359E" w:rsidRDefault="005A4615" w:rsidP="001D6520">
            <w:pPr>
              <w:ind w:right="-284"/>
              <w:rPr>
                <w:rFonts w:cs="Arial"/>
              </w:rPr>
            </w:pPr>
          </w:p>
        </w:tc>
        <w:tc>
          <w:tcPr>
            <w:tcW w:w="1268" w:type="dxa"/>
            <w:shd w:val="clear" w:color="auto" w:fill="auto"/>
          </w:tcPr>
          <w:p w14:paraId="71B0C5B8" w14:textId="2D521136" w:rsidR="002E1243" w:rsidRPr="00EA359E" w:rsidRDefault="002E1243" w:rsidP="001D6520">
            <w:pPr>
              <w:ind w:right="-284"/>
              <w:rPr>
                <w:rFonts w:cs="Arial"/>
              </w:rPr>
            </w:pPr>
            <w:r w:rsidRPr="00EA359E">
              <w:rPr>
                <w:rFonts w:cs="Arial"/>
                <w:lang w:val="de-DE"/>
              </w:rPr>
              <w:t>0 - 5 Jahre</w:t>
            </w:r>
          </w:p>
        </w:tc>
        <w:tc>
          <w:tcPr>
            <w:tcW w:w="1269" w:type="dxa"/>
            <w:shd w:val="clear" w:color="auto" w:fill="auto"/>
          </w:tcPr>
          <w:p w14:paraId="259E271F" w14:textId="6814C4D4" w:rsidR="002E1243" w:rsidRPr="00EA359E" w:rsidRDefault="002E1243" w:rsidP="001D6520">
            <w:pPr>
              <w:ind w:right="-284"/>
              <w:rPr>
                <w:rFonts w:cs="Arial"/>
              </w:rPr>
            </w:pPr>
            <w:r w:rsidRPr="00EA359E">
              <w:rPr>
                <w:rFonts w:cs="Arial"/>
                <w:lang w:val="de-DE"/>
              </w:rPr>
              <w:t>6 - 9 Jahre</w:t>
            </w:r>
          </w:p>
        </w:tc>
        <w:tc>
          <w:tcPr>
            <w:tcW w:w="1574" w:type="dxa"/>
            <w:shd w:val="clear" w:color="auto" w:fill="auto"/>
          </w:tcPr>
          <w:p w14:paraId="3F4F8CBB" w14:textId="67C3F495" w:rsidR="002E1243" w:rsidRPr="00EA359E" w:rsidRDefault="002E1243" w:rsidP="001D6520">
            <w:pPr>
              <w:ind w:right="-284"/>
              <w:rPr>
                <w:rFonts w:cs="Arial"/>
              </w:rPr>
            </w:pPr>
            <w:r w:rsidRPr="00EA359E">
              <w:rPr>
                <w:rFonts w:cs="Arial"/>
                <w:lang w:val="de-DE"/>
              </w:rPr>
              <w:t>10 - 14 Jahre</w:t>
            </w:r>
          </w:p>
        </w:tc>
        <w:tc>
          <w:tcPr>
            <w:tcW w:w="1408" w:type="dxa"/>
            <w:shd w:val="clear" w:color="auto" w:fill="auto"/>
          </w:tcPr>
          <w:p w14:paraId="69D6ABD0" w14:textId="6509AAB0" w:rsidR="002E1243" w:rsidRPr="00EA359E" w:rsidRDefault="002E1243" w:rsidP="001D6520">
            <w:pPr>
              <w:ind w:right="-284"/>
              <w:rPr>
                <w:rFonts w:cs="Arial"/>
              </w:rPr>
            </w:pPr>
            <w:r w:rsidRPr="00EA359E">
              <w:rPr>
                <w:rFonts w:cs="Arial"/>
                <w:lang w:val="de-DE"/>
              </w:rPr>
              <w:t>15 - 19 Jahre</w:t>
            </w:r>
          </w:p>
        </w:tc>
        <w:tc>
          <w:tcPr>
            <w:tcW w:w="1592" w:type="dxa"/>
            <w:shd w:val="clear" w:color="auto" w:fill="auto"/>
          </w:tcPr>
          <w:p w14:paraId="33AD26E5" w14:textId="5167811B" w:rsidR="002E1243" w:rsidRPr="00EA359E" w:rsidRDefault="00115A93" w:rsidP="001D6520">
            <w:pPr>
              <w:ind w:right="-284"/>
              <w:jc w:val="center"/>
              <w:rPr>
                <w:rFonts w:cs="Arial"/>
              </w:rPr>
            </w:pPr>
            <w:r>
              <w:rPr>
                <w:rFonts w:cs="Arial"/>
                <w:lang w:val="de-DE"/>
              </w:rPr>
              <w:t>≥</w:t>
            </w:r>
            <w:r w:rsidR="00D61F73" w:rsidRPr="00EA359E">
              <w:rPr>
                <w:rFonts w:cs="Arial"/>
                <w:lang w:val="de-DE"/>
              </w:rPr>
              <w:t xml:space="preserve"> </w:t>
            </w:r>
            <w:r w:rsidR="002E1243" w:rsidRPr="00EA359E">
              <w:rPr>
                <w:rFonts w:cs="Arial"/>
                <w:lang w:val="de-DE"/>
              </w:rPr>
              <w:t xml:space="preserve">20 Jahre </w:t>
            </w:r>
          </w:p>
        </w:tc>
      </w:tr>
      <w:tr w:rsidR="002E1243" w:rsidRPr="00EA359E" w14:paraId="4E01A1CF" w14:textId="14B9E8B3" w:rsidTr="004419A0">
        <w:tc>
          <w:tcPr>
            <w:tcW w:w="2410" w:type="dxa"/>
            <w:shd w:val="clear" w:color="auto" w:fill="DBE5F1" w:themeFill="accent1" w:themeFillTint="33"/>
          </w:tcPr>
          <w:p w14:paraId="2E330EA0" w14:textId="0406FC99" w:rsidR="002E1243" w:rsidRPr="00EA359E" w:rsidRDefault="002E1243" w:rsidP="001D6520">
            <w:pPr>
              <w:ind w:right="-284"/>
              <w:rPr>
                <w:rFonts w:cs="Arial"/>
              </w:rPr>
            </w:pPr>
            <w:r w:rsidRPr="00EA359E">
              <w:rPr>
                <w:rFonts w:cs="Arial"/>
                <w:lang w:val="de-DE"/>
              </w:rPr>
              <w:t>Regelbedarfssätze</w:t>
            </w:r>
            <w:r w:rsidR="008B0BA2" w:rsidRPr="00EA359E">
              <w:rPr>
                <w:rFonts w:cs="Arial"/>
                <w:lang w:val="de-DE"/>
              </w:rPr>
              <w:t xml:space="preserve"> in €</w:t>
            </w:r>
          </w:p>
        </w:tc>
        <w:tc>
          <w:tcPr>
            <w:tcW w:w="1268" w:type="dxa"/>
            <w:shd w:val="clear" w:color="auto" w:fill="DBE5F1" w:themeFill="accent1" w:themeFillTint="33"/>
          </w:tcPr>
          <w:p w14:paraId="77C4DB46" w14:textId="7A4755CE" w:rsidR="002E1243" w:rsidRPr="00EA359E" w:rsidRDefault="002E1243" w:rsidP="001D6520">
            <w:pPr>
              <w:ind w:right="-284"/>
              <w:jc w:val="center"/>
              <w:rPr>
                <w:rFonts w:cs="Arial"/>
                <w:b/>
                <w:bCs/>
              </w:rPr>
            </w:pPr>
            <w:r w:rsidRPr="00EA359E">
              <w:rPr>
                <w:rFonts w:cs="Arial"/>
                <w:b/>
                <w:bCs/>
                <w:lang w:val="de-DE"/>
              </w:rPr>
              <w:t>3</w:t>
            </w:r>
            <w:r w:rsidR="004544E3">
              <w:rPr>
                <w:rFonts w:cs="Arial"/>
                <w:b/>
                <w:bCs/>
                <w:lang w:val="de-DE"/>
              </w:rPr>
              <w:t>6</w:t>
            </w:r>
            <w:r w:rsidR="00FA0E74" w:rsidRPr="00EA359E">
              <w:rPr>
                <w:rFonts w:cs="Arial"/>
                <w:b/>
                <w:bCs/>
                <w:lang w:val="de-DE"/>
              </w:rPr>
              <w:t>0</w:t>
            </w:r>
          </w:p>
        </w:tc>
        <w:tc>
          <w:tcPr>
            <w:tcW w:w="1269" w:type="dxa"/>
            <w:shd w:val="clear" w:color="auto" w:fill="DBE5F1" w:themeFill="accent1" w:themeFillTint="33"/>
          </w:tcPr>
          <w:p w14:paraId="561D13C0" w14:textId="12991FDE" w:rsidR="002E1243" w:rsidRPr="00EA359E" w:rsidRDefault="002E1243" w:rsidP="001D6520">
            <w:pPr>
              <w:ind w:right="-284"/>
              <w:jc w:val="center"/>
              <w:rPr>
                <w:rFonts w:cs="Arial"/>
                <w:b/>
                <w:bCs/>
              </w:rPr>
            </w:pPr>
            <w:r w:rsidRPr="00EA359E">
              <w:rPr>
                <w:rFonts w:cs="Arial"/>
                <w:b/>
                <w:bCs/>
                <w:lang w:val="de-DE"/>
              </w:rPr>
              <w:t>4</w:t>
            </w:r>
            <w:r w:rsidR="004544E3">
              <w:rPr>
                <w:rFonts w:cs="Arial"/>
                <w:b/>
                <w:bCs/>
                <w:lang w:val="de-DE"/>
              </w:rPr>
              <w:t>6</w:t>
            </w:r>
            <w:r w:rsidR="00C65B39" w:rsidRPr="00EA359E">
              <w:rPr>
                <w:rFonts w:cs="Arial"/>
                <w:b/>
                <w:bCs/>
                <w:lang w:val="de-DE"/>
              </w:rPr>
              <w:t>0</w:t>
            </w:r>
          </w:p>
        </w:tc>
        <w:tc>
          <w:tcPr>
            <w:tcW w:w="1574" w:type="dxa"/>
            <w:shd w:val="clear" w:color="auto" w:fill="DBE5F1" w:themeFill="accent1" w:themeFillTint="33"/>
          </w:tcPr>
          <w:p w14:paraId="348B8863" w14:textId="15D91EFB" w:rsidR="002E1243" w:rsidRPr="00EA359E" w:rsidRDefault="002E1243" w:rsidP="001D6520">
            <w:pPr>
              <w:ind w:right="-284"/>
              <w:jc w:val="center"/>
              <w:rPr>
                <w:rFonts w:cs="Arial"/>
                <w:b/>
                <w:bCs/>
              </w:rPr>
            </w:pPr>
            <w:r w:rsidRPr="00EA359E">
              <w:rPr>
                <w:rFonts w:cs="Arial"/>
                <w:b/>
                <w:bCs/>
                <w:lang w:val="de-DE"/>
              </w:rPr>
              <w:t>5</w:t>
            </w:r>
            <w:r w:rsidR="004544E3">
              <w:rPr>
                <w:rFonts w:cs="Arial"/>
                <w:b/>
                <w:bCs/>
                <w:lang w:val="de-DE"/>
              </w:rPr>
              <w:t>6</w:t>
            </w:r>
            <w:r w:rsidR="00C65B39" w:rsidRPr="00EA359E">
              <w:rPr>
                <w:rFonts w:cs="Arial"/>
                <w:b/>
                <w:bCs/>
                <w:lang w:val="de-DE"/>
              </w:rPr>
              <w:t>0</w:t>
            </w:r>
          </w:p>
        </w:tc>
        <w:tc>
          <w:tcPr>
            <w:tcW w:w="1408" w:type="dxa"/>
            <w:shd w:val="clear" w:color="auto" w:fill="DBE5F1" w:themeFill="accent1" w:themeFillTint="33"/>
          </w:tcPr>
          <w:p w14:paraId="67FC1D6C" w14:textId="052B1CFF" w:rsidR="002E1243" w:rsidRPr="00EA359E" w:rsidRDefault="004544E3" w:rsidP="001D6520">
            <w:pPr>
              <w:ind w:right="-284"/>
              <w:jc w:val="center"/>
              <w:rPr>
                <w:rFonts w:cs="Arial"/>
                <w:b/>
                <w:bCs/>
              </w:rPr>
            </w:pPr>
            <w:r>
              <w:rPr>
                <w:rFonts w:cs="Arial"/>
                <w:b/>
                <w:bCs/>
                <w:lang w:val="de-DE"/>
              </w:rPr>
              <w:t>700</w:t>
            </w:r>
          </w:p>
        </w:tc>
        <w:tc>
          <w:tcPr>
            <w:tcW w:w="1592" w:type="dxa"/>
            <w:shd w:val="clear" w:color="auto" w:fill="DBE5F1" w:themeFill="accent1" w:themeFillTint="33"/>
          </w:tcPr>
          <w:p w14:paraId="3B20D5C6" w14:textId="6EED7844" w:rsidR="002E1243" w:rsidRPr="00EA359E" w:rsidRDefault="004544E3" w:rsidP="001D6520">
            <w:pPr>
              <w:ind w:right="-284"/>
              <w:jc w:val="center"/>
              <w:rPr>
                <w:rFonts w:cs="Arial"/>
                <w:b/>
                <w:bCs/>
              </w:rPr>
            </w:pPr>
            <w:r>
              <w:rPr>
                <w:rFonts w:cs="Arial"/>
                <w:b/>
                <w:bCs/>
                <w:lang w:val="de-DE"/>
              </w:rPr>
              <w:t>800</w:t>
            </w:r>
          </w:p>
        </w:tc>
      </w:tr>
    </w:tbl>
    <w:p w14:paraId="025DB543" w14:textId="77777777" w:rsidR="00FA0E74" w:rsidRPr="00EA359E" w:rsidRDefault="00FA0E74" w:rsidP="00F1173A">
      <w:pPr>
        <w:rPr>
          <w:lang w:val="de-DE"/>
        </w:rPr>
      </w:pPr>
    </w:p>
    <w:p w14:paraId="6CAF8EDF" w14:textId="69BE66A0" w:rsidR="003D569A" w:rsidRPr="00EA359E" w:rsidRDefault="004F3E96" w:rsidP="00F1173A">
      <w:pPr>
        <w:pStyle w:val="berschrift2"/>
        <w:rPr>
          <w:lang w:val="de-DE"/>
        </w:rPr>
      </w:pPr>
      <w:r w:rsidRPr="00EA359E">
        <w:rPr>
          <w:lang w:val="de-DE"/>
        </w:rPr>
        <w:t xml:space="preserve">Pflegegeld </w:t>
      </w:r>
      <w:r w:rsidR="004D1145" w:rsidRPr="00EA359E">
        <w:rPr>
          <w:lang w:val="de-DE"/>
        </w:rPr>
        <w:t>wird ab 1.1.202</w:t>
      </w:r>
      <w:r w:rsidR="006A4E67">
        <w:rPr>
          <w:lang w:val="de-DE"/>
        </w:rPr>
        <w:t>6</w:t>
      </w:r>
      <w:r w:rsidR="004D1145" w:rsidRPr="00EA359E">
        <w:rPr>
          <w:lang w:val="de-DE"/>
        </w:rPr>
        <w:t xml:space="preserve"> um </w:t>
      </w:r>
      <w:r w:rsidR="006A4E67">
        <w:rPr>
          <w:lang w:val="de-DE"/>
        </w:rPr>
        <w:t>2,7</w:t>
      </w:r>
      <w:r w:rsidR="0020557A">
        <w:rPr>
          <w:lang w:val="de-DE"/>
        </w:rPr>
        <w:t xml:space="preserve"> </w:t>
      </w:r>
      <w:r w:rsidR="004D1145" w:rsidRPr="00EA359E">
        <w:rPr>
          <w:lang w:val="de-DE"/>
        </w:rPr>
        <w:t xml:space="preserve">% </w:t>
      </w:r>
      <w:proofErr w:type="gramStart"/>
      <w:r w:rsidRPr="00EA359E">
        <w:rPr>
          <w:lang w:val="de-DE"/>
        </w:rPr>
        <w:t>valorisiert</w:t>
      </w:r>
      <w:r w:rsidR="0069164E">
        <w:rPr>
          <w:lang w:val="de-DE"/>
        </w:rPr>
        <w:t xml:space="preserve"> </w:t>
      </w:r>
      <w:r w:rsidR="004D1145" w:rsidRPr="00EA359E">
        <w:rPr>
          <w:lang w:val="de-DE"/>
        </w:rPr>
        <w:t>:</w:t>
      </w:r>
      <w:proofErr w:type="gramEnd"/>
    </w:p>
    <w:tbl>
      <w:tblPr>
        <w:tblW w:w="9564" w:type="dxa"/>
        <w:tblInd w:w="-5" w:type="dxa"/>
        <w:tblCellMar>
          <w:left w:w="70" w:type="dxa"/>
          <w:right w:w="70" w:type="dxa"/>
        </w:tblCellMar>
        <w:tblLook w:val="04A0" w:firstRow="1" w:lastRow="0" w:firstColumn="1" w:lastColumn="0" w:noHBand="0" w:noVBand="1"/>
      </w:tblPr>
      <w:tblGrid>
        <w:gridCol w:w="1837"/>
        <w:gridCol w:w="992"/>
        <w:gridCol w:w="992"/>
        <w:gridCol w:w="992"/>
        <w:gridCol w:w="1200"/>
        <w:gridCol w:w="1217"/>
        <w:gridCol w:w="1134"/>
        <w:gridCol w:w="1200"/>
      </w:tblGrid>
      <w:tr w:rsidR="006A4E67" w:rsidRPr="00EA359E" w14:paraId="46A48EE3" w14:textId="77777777" w:rsidTr="00C65B9B">
        <w:trPr>
          <w:trHeight w:val="300"/>
        </w:trPr>
        <w:tc>
          <w:tcPr>
            <w:tcW w:w="18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26A4" w14:textId="77777777" w:rsidR="004F3E96" w:rsidRPr="00EA359E" w:rsidRDefault="004F3E96" w:rsidP="00F1173A">
            <w:pPr>
              <w:rPr>
                <w:lang w:val="de-DE"/>
              </w:rPr>
            </w:pPr>
            <w:r w:rsidRPr="00EA359E">
              <w:rPr>
                <w:lang w:val="de-DE"/>
              </w:rPr>
              <w:t>Pflegestufe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1D1DE5" w14:textId="77777777" w:rsidR="004F3E96" w:rsidRPr="00EA359E" w:rsidRDefault="004F3E96" w:rsidP="00E20441">
            <w:pPr>
              <w:jc w:val="center"/>
              <w:rPr>
                <w:lang w:val="de-DE"/>
              </w:rPr>
            </w:pPr>
            <w:r w:rsidRPr="00EA359E">
              <w:rPr>
                <w:lang w:val="de-DE"/>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410BC7F" w14:textId="77777777" w:rsidR="004F3E96" w:rsidRPr="00EA359E" w:rsidRDefault="004F3E96" w:rsidP="00E20441">
            <w:pPr>
              <w:jc w:val="center"/>
              <w:rPr>
                <w:lang w:val="de-DE"/>
              </w:rPr>
            </w:pPr>
            <w:r w:rsidRPr="00EA359E">
              <w:rPr>
                <w:lang w:val="de-DE"/>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1C39F6" w14:textId="77777777" w:rsidR="004F3E96" w:rsidRPr="00EA359E" w:rsidRDefault="004F3E96" w:rsidP="00E20441">
            <w:pPr>
              <w:jc w:val="center"/>
              <w:rPr>
                <w:lang w:val="de-DE"/>
              </w:rPr>
            </w:pPr>
            <w:r w:rsidRPr="00EA359E">
              <w:rPr>
                <w:lang w:val="de-DE"/>
              </w:rPr>
              <w:t>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2E88CCC" w14:textId="77777777" w:rsidR="004F3E96" w:rsidRPr="00EA359E" w:rsidRDefault="004F3E96" w:rsidP="00E20441">
            <w:pPr>
              <w:jc w:val="center"/>
              <w:rPr>
                <w:lang w:val="de-DE"/>
              </w:rPr>
            </w:pPr>
            <w:r w:rsidRPr="00EA359E">
              <w:rPr>
                <w:lang w:val="de-DE"/>
              </w:rPr>
              <w:t>4</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14:paraId="0E6E66D2" w14:textId="77777777" w:rsidR="004F3E96" w:rsidRPr="00EA359E" w:rsidRDefault="004F3E96" w:rsidP="00E20441">
            <w:pPr>
              <w:jc w:val="center"/>
              <w:rPr>
                <w:lang w:val="de-DE"/>
              </w:rPr>
            </w:pPr>
            <w:r w:rsidRPr="00EA359E">
              <w:rPr>
                <w:lang w:val="de-DE"/>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6B51AB" w14:textId="77777777" w:rsidR="004F3E96" w:rsidRPr="00EA359E" w:rsidRDefault="004F3E96" w:rsidP="00E20441">
            <w:pPr>
              <w:jc w:val="center"/>
              <w:rPr>
                <w:lang w:val="de-DE"/>
              </w:rPr>
            </w:pPr>
            <w:r w:rsidRPr="00EA359E">
              <w:rPr>
                <w:lang w:val="de-DE"/>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C28DC9E" w14:textId="77777777" w:rsidR="004F3E96" w:rsidRPr="00EA359E" w:rsidRDefault="004F3E96" w:rsidP="00E20441">
            <w:pPr>
              <w:jc w:val="center"/>
              <w:rPr>
                <w:lang w:val="de-DE"/>
              </w:rPr>
            </w:pPr>
            <w:r w:rsidRPr="00EA359E">
              <w:rPr>
                <w:lang w:val="de-DE"/>
              </w:rPr>
              <w:t>7</w:t>
            </w:r>
          </w:p>
        </w:tc>
      </w:tr>
      <w:tr w:rsidR="006A4E67" w:rsidRPr="00EA359E" w14:paraId="77078CE2" w14:textId="77777777" w:rsidTr="004419A0">
        <w:trPr>
          <w:trHeight w:val="300"/>
        </w:trPr>
        <w:tc>
          <w:tcPr>
            <w:tcW w:w="1837"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320A6D1D" w14:textId="7033F845" w:rsidR="004F3E96" w:rsidRPr="00EA359E" w:rsidRDefault="004F3E96" w:rsidP="00F1173A">
            <w:pPr>
              <w:rPr>
                <w:lang w:val="de-DE"/>
              </w:rPr>
            </w:pPr>
            <w:r w:rsidRPr="00EA359E">
              <w:rPr>
                <w:lang w:val="de-DE"/>
              </w:rPr>
              <w:t xml:space="preserve">monatlich </w:t>
            </w:r>
            <w:r w:rsidR="00C631F6" w:rsidRPr="00EA359E">
              <w:rPr>
                <w:lang w:val="de-DE"/>
              </w:rPr>
              <w:t xml:space="preserve">in </w:t>
            </w:r>
            <w:r w:rsidRPr="00EA359E">
              <w:rPr>
                <w:lang w:val="de-DE"/>
              </w:rPr>
              <w:t>€</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5508B26C" w14:textId="0FD70FDE" w:rsidR="004F3E96" w:rsidRPr="00EA359E" w:rsidRDefault="004D1145" w:rsidP="00B71DD0">
            <w:pPr>
              <w:ind w:right="141"/>
              <w:jc w:val="center"/>
              <w:rPr>
                <w:rFonts w:cs="Arial"/>
                <w:b/>
                <w:bCs/>
                <w:color w:val="000000"/>
                <w:lang w:val="de-DE"/>
              </w:rPr>
            </w:pPr>
            <w:r w:rsidRPr="00EA359E">
              <w:rPr>
                <w:rFonts w:cs="Arial"/>
                <w:b/>
                <w:bCs/>
                <w:color w:val="000000"/>
                <w:lang w:val="de-DE"/>
              </w:rPr>
              <w:t>20</w:t>
            </w:r>
            <w:r w:rsidR="006A4E67">
              <w:rPr>
                <w:rFonts w:cs="Arial"/>
                <w:b/>
                <w:bCs/>
                <w:color w:val="000000"/>
                <w:lang w:val="de-DE"/>
              </w:rPr>
              <w:t>6</w:t>
            </w:r>
            <w:r w:rsidRPr="00EA359E">
              <w:rPr>
                <w:rFonts w:cs="Arial"/>
                <w:b/>
                <w:bCs/>
                <w:color w:val="000000"/>
                <w:lang w:val="de-DE"/>
              </w:rPr>
              <w:t>,</w:t>
            </w:r>
            <w:r w:rsidR="006A4E67">
              <w:rPr>
                <w:rFonts w:cs="Arial"/>
                <w:b/>
                <w:bCs/>
                <w:color w:val="000000"/>
                <w:lang w:val="de-DE"/>
              </w:rPr>
              <w:t>3</w:t>
            </w:r>
            <w:r w:rsidRPr="00EA359E">
              <w:rPr>
                <w:rFonts w:cs="Arial"/>
                <w:b/>
                <w:bCs/>
                <w:color w:val="000000"/>
                <w:lang w:val="de-DE"/>
              </w:rPr>
              <w:t>0</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49B1BE9D" w14:textId="331B2C77" w:rsidR="004F3E96" w:rsidRPr="00EA359E" w:rsidRDefault="004D1145" w:rsidP="00B71DD0">
            <w:pPr>
              <w:ind w:right="141"/>
              <w:jc w:val="center"/>
              <w:rPr>
                <w:rFonts w:cs="Arial"/>
                <w:b/>
                <w:bCs/>
                <w:color w:val="000000"/>
                <w:lang w:val="de-DE"/>
              </w:rPr>
            </w:pPr>
            <w:r w:rsidRPr="00EA359E">
              <w:rPr>
                <w:rFonts w:cs="Arial"/>
                <w:b/>
                <w:bCs/>
                <w:color w:val="000000"/>
                <w:lang w:val="de-DE"/>
              </w:rPr>
              <w:t>3</w:t>
            </w:r>
            <w:r w:rsidR="006A4E67">
              <w:rPr>
                <w:rFonts w:cs="Arial"/>
                <w:b/>
                <w:bCs/>
                <w:color w:val="000000"/>
                <w:lang w:val="de-DE"/>
              </w:rPr>
              <w:t>8</w:t>
            </w:r>
            <w:r w:rsidRPr="00EA359E">
              <w:rPr>
                <w:rFonts w:cs="Arial"/>
                <w:b/>
                <w:bCs/>
                <w:color w:val="000000"/>
                <w:lang w:val="de-DE"/>
              </w:rPr>
              <w:t>0,30</w:t>
            </w:r>
          </w:p>
        </w:tc>
        <w:tc>
          <w:tcPr>
            <w:tcW w:w="992" w:type="dxa"/>
            <w:tcBorders>
              <w:top w:val="nil"/>
              <w:left w:val="nil"/>
              <w:bottom w:val="single" w:sz="4" w:space="0" w:color="auto"/>
              <w:right w:val="single" w:sz="4" w:space="0" w:color="auto"/>
            </w:tcBorders>
            <w:shd w:val="clear" w:color="auto" w:fill="DBE5F1" w:themeFill="accent1" w:themeFillTint="33"/>
            <w:noWrap/>
            <w:vAlign w:val="center"/>
            <w:hideMark/>
          </w:tcPr>
          <w:p w14:paraId="42EA5DA8" w14:textId="2BAF1C27" w:rsidR="004F3E96" w:rsidRPr="00EA359E" w:rsidRDefault="004D1145" w:rsidP="00B71DD0">
            <w:pPr>
              <w:ind w:right="141"/>
              <w:jc w:val="center"/>
              <w:rPr>
                <w:rFonts w:cs="Arial"/>
                <w:b/>
                <w:bCs/>
                <w:color w:val="000000"/>
                <w:lang w:val="de-DE"/>
              </w:rPr>
            </w:pPr>
            <w:r w:rsidRPr="00EA359E">
              <w:rPr>
                <w:rFonts w:cs="Arial"/>
                <w:b/>
                <w:bCs/>
                <w:color w:val="000000"/>
                <w:lang w:val="de-DE"/>
              </w:rPr>
              <w:t>5</w:t>
            </w:r>
            <w:r w:rsidR="006A4E67">
              <w:rPr>
                <w:rFonts w:cs="Arial"/>
                <w:b/>
                <w:bCs/>
                <w:color w:val="000000"/>
                <w:lang w:val="de-DE"/>
              </w:rPr>
              <w:t>92,6</w:t>
            </w:r>
            <w:r w:rsidRPr="00EA359E">
              <w:rPr>
                <w:rFonts w:cs="Arial"/>
                <w:b/>
                <w:bCs/>
                <w:color w:val="000000"/>
                <w:lang w:val="de-DE"/>
              </w:rPr>
              <w:t>0</w:t>
            </w:r>
          </w:p>
        </w:tc>
        <w:tc>
          <w:tcPr>
            <w:tcW w:w="1200" w:type="dxa"/>
            <w:tcBorders>
              <w:top w:val="nil"/>
              <w:left w:val="nil"/>
              <w:bottom w:val="single" w:sz="4" w:space="0" w:color="auto"/>
              <w:right w:val="single" w:sz="4" w:space="0" w:color="auto"/>
            </w:tcBorders>
            <w:shd w:val="clear" w:color="auto" w:fill="DBE5F1" w:themeFill="accent1" w:themeFillTint="33"/>
            <w:noWrap/>
            <w:vAlign w:val="center"/>
            <w:hideMark/>
          </w:tcPr>
          <w:p w14:paraId="3417E0F4" w14:textId="3F451517" w:rsidR="004F3E96" w:rsidRPr="00EA359E" w:rsidRDefault="004D1145" w:rsidP="00B71DD0">
            <w:pPr>
              <w:ind w:right="141"/>
              <w:jc w:val="center"/>
              <w:rPr>
                <w:rFonts w:cs="Arial"/>
                <w:b/>
                <w:bCs/>
                <w:color w:val="000000"/>
                <w:lang w:val="de-DE"/>
              </w:rPr>
            </w:pPr>
            <w:r w:rsidRPr="00EA359E">
              <w:rPr>
                <w:rFonts w:cs="Arial"/>
                <w:b/>
                <w:bCs/>
                <w:color w:val="000000"/>
                <w:lang w:val="de-DE"/>
              </w:rPr>
              <w:t>8</w:t>
            </w:r>
            <w:r w:rsidR="006A4E67">
              <w:rPr>
                <w:rFonts w:cs="Arial"/>
                <w:b/>
                <w:bCs/>
                <w:color w:val="000000"/>
                <w:lang w:val="de-DE"/>
              </w:rPr>
              <w:t>88,5</w:t>
            </w:r>
            <w:r w:rsidRPr="00EA359E">
              <w:rPr>
                <w:rFonts w:cs="Arial"/>
                <w:b/>
                <w:bCs/>
                <w:color w:val="000000"/>
                <w:lang w:val="de-DE"/>
              </w:rPr>
              <w:t>0</w:t>
            </w:r>
          </w:p>
        </w:tc>
        <w:tc>
          <w:tcPr>
            <w:tcW w:w="1217" w:type="dxa"/>
            <w:tcBorders>
              <w:top w:val="nil"/>
              <w:left w:val="nil"/>
              <w:bottom w:val="single" w:sz="4" w:space="0" w:color="auto"/>
              <w:right w:val="single" w:sz="4" w:space="0" w:color="auto"/>
            </w:tcBorders>
            <w:shd w:val="clear" w:color="auto" w:fill="DBE5F1" w:themeFill="accent1" w:themeFillTint="33"/>
            <w:noWrap/>
            <w:vAlign w:val="center"/>
            <w:hideMark/>
          </w:tcPr>
          <w:p w14:paraId="131DD233" w14:textId="254DB5BF" w:rsidR="004F3E96" w:rsidRPr="00EA359E" w:rsidRDefault="004D1145" w:rsidP="00B71DD0">
            <w:pPr>
              <w:ind w:right="141"/>
              <w:jc w:val="center"/>
              <w:rPr>
                <w:rFonts w:cs="Arial"/>
                <w:b/>
                <w:bCs/>
                <w:color w:val="000000"/>
                <w:lang w:val="de-DE"/>
              </w:rPr>
            </w:pPr>
            <w:r w:rsidRPr="00EA359E">
              <w:rPr>
                <w:rFonts w:cs="Arial"/>
                <w:b/>
                <w:bCs/>
                <w:color w:val="000000"/>
                <w:lang w:val="de-DE"/>
              </w:rPr>
              <w:t>1.</w:t>
            </w:r>
            <w:r w:rsidR="006A4E67">
              <w:rPr>
                <w:rFonts w:cs="Arial"/>
                <w:b/>
                <w:bCs/>
                <w:color w:val="000000"/>
                <w:lang w:val="de-DE"/>
              </w:rPr>
              <w:t>20</w:t>
            </w:r>
            <w:r w:rsidR="00A27086">
              <w:rPr>
                <w:rFonts w:cs="Arial"/>
                <w:b/>
                <w:bCs/>
                <w:color w:val="000000"/>
                <w:lang w:val="de-DE"/>
              </w:rPr>
              <w:t>6</w:t>
            </w:r>
            <w:r w:rsidR="006A4E67">
              <w:rPr>
                <w:rFonts w:cs="Arial"/>
                <w:b/>
                <w:bCs/>
                <w:color w:val="000000"/>
                <w:lang w:val="de-DE"/>
              </w:rPr>
              <w:t>,</w:t>
            </w:r>
            <w:r w:rsidR="00A27086">
              <w:rPr>
                <w:rFonts w:cs="Arial"/>
                <w:b/>
                <w:bCs/>
                <w:color w:val="000000"/>
                <w:lang w:val="de-DE"/>
              </w:rPr>
              <w:t>9</w:t>
            </w:r>
            <w:r w:rsidR="006A4E67">
              <w:rPr>
                <w:rFonts w:cs="Arial"/>
                <w:b/>
                <w:bCs/>
                <w:color w:val="000000"/>
                <w:lang w:val="de-DE"/>
              </w:rPr>
              <w:t>0</w:t>
            </w:r>
          </w:p>
        </w:tc>
        <w:tc>
          <w:tcPr>
            <w:tcW w:w="1134" w:type="dxa"/>
            <w:tcBorders>
              <w:top w:val="nil"/>
              <w:left w:val="nil"/>
              <w:bottom w:val="single" w:sz="4" w:space="0" w:color="auto"/>
              <w:right w:val="single" w:sz="4" w:space="0" w:color="auto"/>
            </w:tcBorders>
            <w:shd w:val="clear" w:color="auto" w:fill="DBE5F1" w:themeFill="accent1" w:themeFillTint="33"/>
            <w:noWrap/>
            <w:vAlign w:val="center"/>
            <w:hideMark/>
          </w:tcPr>
          <w:p w14:paraId="7A15B508" w14:textId="4F851102" w:rsidR="004F3E96" w:rsidRPr="00EA359E" w:rsidRDefault="004D1145" w:rsidP="00B71DD0">
            <w:pPr>
              <w:ind w:right="141"/>
              <w:jc w:val="center"/>
              <w:rPr>
                <w:rFonts w:cs="Arial"/>
                <w:b/>
                <w:bCs/>
                <w:color w:val="000000"/>
                <w:lang w:val="de-DE"/>
              </w:rPr>
            </w:pPr>
            <w:r w:rsidRPr="00EA359E">
              <w:rPr>
                <w:rFonts w:cs="Arial"/>
                <w:b/>
                <w:bCs/>
                <w:color w:val="000000"/>
                <w:lang w:val="de-DE"/>
              </w:rPr>
              <w:t>1.6</w:t>
            </w:r>
            <w:r w:rsidR="006A4E67">
              <w:rPr>
                <w:rFonts w:cs="Arial"/>
                <w:b/>
                <w:bCs/>
                <w:color w:val="000000"/>
                <w:lang w:val="de-DE"/>
              </w:rPr>
              <w:t>85,</w:t>
            </w:r>
            <w:r w:rsidR="00A27086">
              <w:rPr>
                <w:rFonts w:cs="Arial"/>
                <w:b/>
                <w:bCs/>
                <w:color w:val="000000"/>
                <w:lang w:val="de-DE"/>
              </w:rPr>
              <w:t>4</w:t>
            </w:r>
            <w:r w:rsidRPr="00EA359E">
              <w:rPr>
                <w:rFonts w:cs="Arial"/>
                <w:b/>
                <w:bCs/>
                <w:color w:val="000000"/>
                <w:lang w:val="de-DE"/>
              </w:rPr>
              <w:t>0</w:t>
            </w:r>
          </w:p>
        </w:tc>
        <w:tc>
          <w:tcPr>
            <w:tcW w:w="1200" w:type="dxa"/>
            <w:tcBorders>
              <w:top w:val="nil"/>
              <w:left w:val="nil"/>
              <w:bottom w:val="single" w:sz="4" w:space="0" w:color="auto"/>
              <w:right w:val="single" w:sz="4" w:space="0" w:color="auto"/>
            </w:tcBorders>
            <w:shd w:val="clear" w:color="auto" w:fill="DBE5F1" w:themeFill="accent1" w:themeFillTint="33"/>
            <w:noWrap/>
            <w:vAlign w:val="center"/>
            <w:hideMark/>
          </w:tcPr>
          <w:p w14:paraId="2DCEF130" w14:textId="3ED9B03F" w:rsidR="004F3E96" w:rsidRPr="00EA359E" w:rsidRDefault="00C65B39" w:rsidP="00B71DD0">
            <w:pPr>
              <w:ind w:right="141"/>
              <w:jc w:val="center"/>
              <w:rPr>
                <w:rFonts w:cs="Arial"/>
                <w:b/>
                <w:bCs/>
                <w:color w:val="000000"/>
                <w:lang w:val="de-DE"/>
              </w:rPr>
            </w:pPr>
            <w:r w:rsidRPr="00EA359E">
              <w:rPr>
                <w:rFonts w:cs="Arial"/>
                <w:b/>
                <w:bCs/>
                <w:color w:val="000000"/>
                <w:lang w:val="de-DE"/>
              </w:rPr>
              <w:t>2</w:t>
            </w:r>
            <w:r w:rsidR="004D1145" w:rsidRPr="00EA359E">
              <w:rPr>
                <w:rFonts w:cs="Arial"/>
                <w:b/>
                <w:bCs/>
                <w:color w:val="000000"/>
                <w:lang w:val="de-DE"/>
              </w:rPr>
              <w:t>.</w:t>
            </w:r>
            <w:r w:rsidR="006A4E67">
              <w:rPr>
                <w:rFonts w:cs="Arial"/>
                <w:b/>
                <w:bCs/>
                <w:color w:val="000000"/>
                <w:lang w:val="de-DE"/>
              </w:rPr>
              <w:t>214,</w:t>
            </w:r>
            <w:r w:rsidR="00A27086">
              <w:rPr>
                <w:rFonts w:cs="Arial"/>
                <w:b/>
                <w:bCs/>
                <w:color w:val="000000"/>
                <w:lang w:val="de-DE"/>
              </w:rPr>
              <w:t>8</w:t>
            </w:r>
            <w:r w:rsidR="006A4E67">
              <w:rPr>
                <w:rFonts w:cs="Arial"/>
                <w:b/>
                <w:bCs/>
                <w:color w:val="000000"/>
                <w:lang w:val="de-DE"/>
              </w:rPr>
              <w:t>0</w:t>
            </w:r>
          </w:p>
        </w:tc>
      </w:tr>
    </w:tbl>
    <w:p w14:paraId="7FB72F22" w14:textId="11AF8F33" w:rsidR="004F3E96" w:rsidRPr="00EA359E" w:rsidRDefault="004F3E96" w:rsidP="00F1173A">
      <w:pPr>
        <w:rPr>
          <w:lang w:val="de-DE"/>
        </w:rPr>
      </w:pPr>
    </w:p>
    <w:p w14:paraId="45CBA2CE" w14:textId="5C392CBB" w:rsidR="002001C4" w:rsidRDefault="00C378C7" w:rsidP="00F1173A">
      <w:pPr>
        <w:pStyle w:val="berschrift2"/>
        <w:rPr>
          <w:lang w:val="de-DE"/>
        </w:rPr>
      </w:pPr>
      <w:r w:rsidRPr="00133BB5">
        <w:rPr>
          <w:lang w:val="de-DE"/>
        </w:rPr>
        <w:t xml:space="preserve">Bildungskarenz </w:t>
      </w:r>
      <w:r>
        <w:rPr>
          <w:lang w:val="de-DE"/>
        </w:rPr>
        <w:t>&amp; Bildungsteilzeit</w:t>
      </w:r>
    </w:p>
    <w:p w14:paraId="7C29B059" w14:textId="4873EB7B" w:rsidR="00C378C7" w:rsidRDefault="00D46553" w:rsidP="00D46553">
      <w:pPr>
        <w:spacing w:line="276" w:lineRule="auto"/>
        <w:jc w:val="both"/>
      </w:pPr>
      <w:r>
        <w:t>A</w:t>
      </w:r>
      <w:r w:rsidR="00C378C7" w:rsidRPr="00C378C7">
        <w:t xml:space="preserve">b 1.1.2026 </w:t>
      </w:r>
      <w:r>
        <w:t xml:space="preserve">besteht </w:t>
      </w:r>
      <w:r w:rsidR="00C378C7" w:rsidRPr="00C378C7">
        <w:t>die Möglichkeit</w:t>
      </w:r>
      <w:r>
        <w:t>,</w:t>
      </w:r>
      <w:r w:rsidR="00C378C7" w:rsidRPr="00C378C7">
        <w:t xml:space="preserve"> eine Bildungskarenz</w:t>
      </w:r>
      <w:r w:rsidR="00133BB5">
        <w:t>/-</w:t>
      </w:r>
      <w:r w:rsidR="00C378C7" w:rsidRPr="00C378C7">
        <w:t xml:space="preserve">teilzeit </w:t>
      </w:r>
      <w:r>
        <w:t xml:space="preserve">nach den neuen Regelungen </w:t>
      </w:r>
      <w:r w:rsidR="00C378C7" w:rsidRPr="00C378C7">
        <w:t>mit dem Arbeitgeber zu vereinbaren. Während dieser Zeit kann vom AMS eine Weiterbildungsbeihilfe beantragt werden.</w:t>
      </w:r>
    </w:p>
    <w:p w14:paraId="0070DED2" w14:textId="77777777" w:rsidR="00C378C7" w:rsidRDefault="00C378C7" w:rsidP="00D46553">
      <w:pPr>
        <w:spacing w:line="276" w:lineRule="auto"/>
        <w:jc w:val="both"/>
      </w:pPr>
    </w:p>
    <w:p w14:paraId="4CB463E7" w14:textId="0AD0C2A7" w:rsidR="00C378C7" w:rsidRPr="00C378C7" w:rsidRDefault="00133BB5" w:rsidP="00363ED5">
      <w:pPr>
        <w:spacing w:line="276" w:lineRule="auto"/>
        <w:jc w:val="both"/>
        <w:rPr>
          <w:lang w:val="de-DE"/>
        </w:rPr>
      </w:pPr>
      <w:r>
        <w:rPr>
          <w:lang w:val="de-DE"/>
        </w:rPr>
        <w:t xml:space="preserve">Die neue Bildungskarenz/-teilzeit hat als </w:t>
      </w:r>
      <w:r w:rsidR="00C378C7" w:rsidRPr="00C378C7">
        <w:rPr>
          <w:lang w:val="de-DE"/>
        </w:rPr>
        <w:t>Voraussetzung</w:t>
      </w:r>
      <w:r>
        <w:rPr>
          <w:lang w:val="de-DE"/>
        </w:rPr>
        <w:t xml:space="preserve"> eine </w:t>
      </w:r>
      <w:r w:rsidRPr="00363ED5">
        <w:rPr>
          <w:b/>
          <w:bCs/>
          <w:lang w:val="de-DE"/>
        </w:rPr>
        <w:t>ununterbrochene 12-monatige arbeitsl</w:t>
      </w:r>
      <w:r w:rsidR="00363ED5" w:rsidRPr="00363ED5">
        <w:rPr>
          <w:b/>
          <w:bCs/>
          <w:lang w:val="de-DE"/>
        </w:rPr>
        <w:t>o</w:t>
      </w:r>
      <w:r w:rsidRPr="00363ED5">
        <w:rPr>
          <w:b/>
          <w:bCs/>
          <w:lang w:val="de-DE"/>
        </w:rPr>
        <w:t>senversicherungspflichtige B</w:t>
      </w:r>
      <w:r w:rsidR="00363ED5" w:rsidRPr="00363ED5">
        <w:rPr>
          <w:b/>
          <w:bCs/>
          <w:lang w:val="de-DE"/>
        </w:rPr>
        <w:t>e</w:t>
      </w:r>
      <w:r w:rsidRPr="00363ED5">
        <w:rPr>
          <w:b/>
          <w:bCs/>
          <w:lang w:val="de-DE"/>
        </w:rPr>
        <w:t>sch</w:t>
      </w:r>
      <w:r w:rsidR="00363ED5" w:rsidRPr="00363ED5">
        <w:rPr>
          <w:b/>
          <w:bCs/>
          <w:lang w:val="de-DE"/>
        </w:rPr>
        <w:t>ä</w:t>
      </w:r>
      <w:r w:rsidRPr="00363ED5">
        <w:rPr>
          <w:b/>
          <w:bCs/>
          <w:lang w:val="de-DE"/>
        </w:rPr>
        <w:t>ftigung.</w:t>
      </w:r>
      <w:r>
        <w:rPr>
          <w:lang w:val="de-DE"/>
        </w:rPr>
        <w:t xml:space="preserve"> Zeiten des Wochengeld- bzw</w:t>
      </w:r>
      <w:r w:rsidR="00115A93">
        <w:rPr>
          <w:lang w:val="de-DE"/>
        </w:rPr>
        <w:t>.</w:t>
      </w:r>
      <w:r>
        <w:rPr>
          <w:lang w:val="de-DE"/>
        </w:rPr>
        <w:t xml:space="preserve"> Kinderbetreuungs</w:t>
      </w:r>
      <w:r w:rsidR="00363ED5">
        <w:rPr>
          <w:lang w:val="de-DE"/>
        </w:rPr>
        <w:softHyphen/>
      </w:r>
      <w:r>
        <w:rPr>
          <w:lang w:val="de-DE"/>
        </w:rPr>
        <w:t>geldbezugs zählen als arbeitslosenversi</w:t>
      </w:r>
      <w:r w:rsidR="00363ED5">
        <w:rPr>
          <w:lang w:val="de-DE"/>
        </w:rPr>
        <w:t>c</w:t>
      </w:r>
      <w:r>
        <w:rPr>
          <w:lang w:val="de-DE"/>
        </w:rPr>
        <w:t>herungspfli</w:t>
      </w:r>
      <w:r w:rsidR="00363ED5">
        <w:rPr>
          <w:lang w:val="de-DE"/>
        </w:rPr>
        <w:t>c</w:t>
      </w:r>
      <w:r>
        <w:rPr>
          <w:lang w:val="de-DE"/>
        </w:rPr>
        <w:t xml:space="preserve">htige Zeit, </w:t>
      </w:r>
      <w:r w:rsidR="00363ED5">
        <w:rPr>
          <w:lang w:val="de-DE"/>
        </w:rPr>
        <w:t xml:space="preserve">dürfen aber nicht in den letzten 26 Wochen vor Beginn der Bildungskarenz liegen. Damit ist es </w:t>
      </w:r>
      <w:r w:rsidR="00363ED5" w:rsidRPr="00363ED5">
        <w:rPr>
          <w:b/>
          <w:bCs/>
          <w:lang w:val="de-DE"/>
        </w:rPr>
        <w:t>nicht mehr möglich, von der Elternkarenz nahtlos in die Bildungskarenz</w:t>
      </w:r>
      <w:r w:rsidR="00363ED5">
        <w:rPr>
          <w:lang w:val="de-DE"/>
        </w:rPr>
        <w:t xml:space="preserve"> zu gehen. </w:t>
      </w:r>
    </w:p>
    <w:p w14:paraId="3E783CC3" w14:textId="00650AF6" w:rsidR="00363ED5" w:rsidRDefault="00C378C7" w:rsidP="00D46553">
      <w:pPr>
        <w:spacing w:line="276" w:lineRule="auto"/>
        <w:jc w:val="both"/>
        <w:rPr>
          <w:lang w:val="de-DE"/>
        </w:rPr>
      </w:pPr>
      <w:r w:rsidRPr="00C378C7">
        <w:rPr>
          <w:lang w:val="de-DE"/>
        </w:rPr>
        <w:t>Auf die Bildungskarenz</w:t>
      </w:r>
      <w:r w:rsidR="00363ED5">
        <w:rPr>
          <w:lang w:val="de-DE"/>
        </w:rPr>
        <w:t>/-</w:t>
      </w:r>
      <w:r w:rsidRPr="00C378C7">
        <w:rPr>
          <w:lang w:val="de-DE"/>
        </w:rPr>
        <w:t xml:space="preserve">teilzeit besteht grundsätzlich kein Rechtsanspruch. </w:t>
      </w:r>
      <w:r w:rsidR="00363ED5">
        <w:rPr>
          <w:lang w:val="de-DE"/>
        </w:rPr>
        <w:t xml:space="preserve">Für Arbeitnehmer, die bereits ein Master- oder Diplomstudium abgeschlossen haben, muss eine zumindest </w:t>
      </w:r>
      <w:r w:rsidR="00904339">
        <w:rPr>
          <w:lang w:val="de-DE"/>
        </w:rPr>
        <w:t>vierjährige</w:t>
      </w:r>
      <w:r w:rsidR="00363ED5">
        <w:rPr>
          <w:lang w:val="de-DE"/>
        </w:rPr>
        <w:t xml:space="preserve"> arbeitslosenversicherungspflichtige Beschäftigung vorliegen. Dadurch sollen vor allem geringer qualifizierte Arbeitnehmer bevorzugt werden.</w:t>
      </w:r>
    </w:p>
    <w:p w14:paraId="3499CD4B" w14:textId="77777777" w:rsidR="00162F55" w:rsidRDefault="00162F55" w:rsidP="00D46553">
      <w:pPr>
        <w:spacing w:line="276" w:lineRule="auto"/>
        <w:jc w:val="both"/>
        <w:rPr>
          <w:lang w:val="de-DE"/>
        </w:rPr>
      </w:pPr>
    </w:p>
    <w:p w14:paraId="1938F1B4" w14:textId="674625B8" w:rsidR="00363ED5" w:rsidRDefault="00363ED5" w:rsidP="00D46553">
      <w:pPr>
        <w:spacing w:line="276" w:lineRule="auto"/>
        <w:jc w:val="both"/>
        <w:rPr>
          <w:lang w:val="de-DE"/>
        </w:rPr>
      </w:pPr>
      <w:r>
        <w:rPr>
          <w:lang w:val="de-DE"/>
        </w:rPr>
        <w:t xml:space="preserve">Der </w:t>
      </w:r>
      <w:r w:rsidRPr="00363ED5">
        <w:rPr>
          <w:b/>
          <w:bCs/>
          <w:lang w:val="de-DE"/>
        </w:rPr>
        <w:t>Arbeitgeber muss einen Zuschuss von 15 % der Weiterbildungsbeihilfe an den Arbeitnehmer zahlen</w:t>
      </w:r>
      <w:r>
        <w:rPr>
          <w:lang w:val="de-DE"/>
        </w:rPr>
        <w:t>, wenn dessen Bruttogehalt mehr als 50 % der monatlichen Höchstbeitragsgrundlage beträgt (2026: € 3.456). Dieser Zuschuss kürzt die AMS-Weiterbildungsbeihilfe und soll dazu dienen, die Bildungskarenz eher niedrig qualifizierten Arbeitnehmern zu ermöglichen. Der Zuschuss darf die Geringfügigkeitsgrenze nicht überschreiten. Das AMS trägt die Sozialversicherungsbeiträge des Zuschusses, die steuerliche Behandlung entspricht der des Arbeitslosengeldes.</w:t>
      </w:r>
    </w:p>
    <w:p w14:paraId="3CCC98A3" w14:textId="77777777" w:rsidR="00363ED5" w:rsidRDefault="00363ED5" w:rsidP="00D46553">
      <w:pPr>
        <w:spacing w:line="276" w:lineRule="auto"/>
        <w:jc w:val="both"/>
        <w:rPr>
          <w:lang w:val="de-DE"/>
        </w:rPr>
      </w:pPr>
    </w:p>
    <w:p w14:paraId="028F5A60" w14:textId="3F622A9A" w:rsidR="00C378C7" w:rsidRPr="00C378C7" w:rsidRDefault="00796A01" w:rsidP="00D46553">
      <w:pPr>
        <w:spacing w:line="276" w:lineRule="auto"/>
        <w:jc w:val="both"/>
        <w:rPr>
          <w:lang w:val="de-DE"/>
        </w:rPr>
      </w:pPr>
      <w:r>
        <w:rPr>
          <w:lang w:val="de-DE"/>
        </w:rPr>
        <w:t>Dem</w:t>
      </w:r>
      <w:r w:rsidR="00C378C7" w:rsidRPr="00C378C7">
        <w:rPr>
          <w:lang w:val="de-DE"/>
        </w:rPr>
        <w:t xml:space="preserve"> Arbeitnehmer</w:t>
      </w:r>
      <w:r w:rsidR="00D46553">
        <w:rPr>
          <w:lang w:val="de-DE"/>
        </w:rPr>
        <w:t xml:space="preserve"> </w:t>
      </w:r>
      <w:r>
        <w:rPr>
          <w:lang w:val="de-DE"/>
        </w:rPr>
        <w:t xml:space="preserve">kann </w:t>
      </w:r>
      <w:r w:rsidR="00C378C7" w:rsidRPr="00C378C7">
        <w:rPr>
          <w:lang w:val="de-DE"/>
        </w:rPr>
        <w:t xml:space="preserve">zur (teilweisen) </w:t>
      </w:r>
      <w:r w:rsidR="00C378C7" w:rsidRPr="00C378C7">
        <w:rPr>
          <w:b/>
          <w:bCs/>
          <w:lang w:val="de-DE"/>
        </w:rPr>
        <w:t>Sicherung des Lebensunterhalts eine Weiterbildungsbeihilfe vom AMS</w:t>
      </w:r>
      <w:r w:rsidR="00C378C7" w:rsidRPr="00C378C7">
        <w:rPr>
          <w:lang w:val="de-DE"/>
        </w:rPr>
        <w:t xml:space="preserve"> gewährt werden. Hierbei handelt es sich um keinen Rechtsanspruch, sondern um eine Ermessensentscheidung des AMS. Insbesondere sind folgende Voraussetzungen zu beachten:</w:t>
      </w:r>
    </w:p>
    <w:p w14:paraId="508AD277" w14:textId="1D5BF6C7" w:rsidR="00C378C7" w:rsidRPr="00C378C7" w:rsidRDefault="00C378C7" w:rsidP="003B1561">
      <w:pPr>
        <w:pStyle w:val="AufzhlungenKlifonichtfett"/>
        <w:rPr>
          <w:lang w:val="de-DE"/>
        </w:rPr>
      </w:pPr>
      <w:r w:rsidRPr="00C378C7">
        <w:rPr>
          <w:lang w:val="de-DE"/>
        </w:rPr>
        <w:t xml:space="preserve">Die Weiterbildungsmaßnahme muss </w:t>
      </w:r>
      <w:r w:rsidRPr="00C378C7">
        <w:rPr>
          <w:b/>
          <w:bCs/>
          <w:lang w:val="de-DE"/>
        </w:rPr>
        <w:t>mindestens 20 Wochenstunden</w:t>
      </w:r>
      <w:r w:rsidRPr="00C378C7">
        <w:rPr>
          <w:lang w:val="de-DE"/>
        </w:rPr>
        <w:t xml:space="preserve"> umfassen (Ausnahme: bei einer bestehenden Betreuungspflicht für ein </w:t>
      </w:r>
      <w:r w:rsidR="00115A93">
        <w:rPr>
          <w:lang w:val="de-DE"/>
        </w:rPr>
        <w:t xml:space="preserve">Kind </w:t>
      </w:r>
      <w:r w:rsidRPr="00C378C7">
        <w:rPr>
          <w:lang w:val="de-DE"/>
        </w:rPr>
        <w:t>unter sieben</w:t>
      </w:r>
      <w:r w:rsidR="00115A93">
        <w:rPr>
          <w:lang w:val="de-DE"/>
        </w:rPr>
        <w:t xml:space="preserve"> Jahren</w:t>
      </w:r>
      <w:r w:rsidRPr="00C378C7">
        <w:rPr>
          <w:lang w:val="de-DE"/>
        </w:rPr>
        <w:t xml:space="preserve"> reichen 16 Wochenstunden)</w:t>
      </w:r>
      <w:r w:rsidR="00115A93">
        <w:rPr>
          <w:lang w:val="de-DE"/>
        </w:rPr>
        <w:t>.</w:t>
      </w:r>
    </w:p>
    <w:p w14:paraId="78B904E8" w14:textId="77777777" w:rsidR="00C378C7" w:rsidRPr="00C378C7" w:rsidRDefault="00C378C7" w:rsidP="003B1561">
      <w:pPr>
        <w:pStyle w:val="AufzhlungenKlifonichtfett"/>
        <w:rPr>
          <w:lang w:val="de-DE"/>
        </w:rPr>
      </w:pPr>
      <w:r w:rsidRPr="00C378C7">
        <w:rPr>
          <w:lang w:val="de-DE"/>
        </w:rPr>
        <w:t xml:space="preserve">Grundsätzlich kommen als Weiterbildungsmaßnahmen sämtliche </w:t>
      </w:r>
      <w:r w:rsidRPr="00C378C7">
        <w:rPr>
          <w:b/>
          <w:bCs/>
          <w:lang w:val="de-DE"/>
        </w:rPr>
        <w:t xml:space="preserve">Aus-, Weiter- und Fortbildungen im In- oder Ausland </w:t>
      </w:r>
      <w:r w:rsidRPr="00C378C7">
        <w:rPr>
          <w:lang w:val="de-DE"/>
        </w:rPr>
        <w:t>in Frage. Wichtig hierbei ist, dass die berufliche Sinnhaftigkeit im Vordergrund steht. Kurse aus privatem Interesse („Hobby“) erfüllen nicht die Voraussetzungen.</w:t>
      </w:r>
    </w:p>
    <w:p w14:paraId="5B7726AA" w14:textId="300538F3" w:rsidR="00D46553" w:rsidRDefault="00C378C7" w:rsidP="00ED33AB">
      <w:pPr>
        <w:pStyle w:val="AufzhlungenKlifonichtfett"/>
        <w:rPr>
          <w:lang w:val="de-DE"/>
        </w:rPr>
      </w:pPr>
      <w:r w:rsidRPr="00ED33AB">
        <w:rPr>
          <w:b/>
          <w:bCs/>
          <w:lang w:val="de-DE"/>
        </w:rPr>
        <w:t>Vor Antritt</w:t>
      </w:r>
      <w:r w:rsidRPr="00C378C7">
        <w:rPr>
          <w:lang w:val="de-DE"/>
        </w:rPr>
        <w:t xml:space="preserve"> der Bildungskarenz</w:t>
      </w:r>
      <w:r w:rsidR="00796A01">
        <w:rPr>
          <w:lang w:val="de-DE"/>
        </w:rPr>
        <w:t>/-</w:t>
      </w:r>
      <w:r w:rsidRPr="00C378C7">
        <w:rPr>
          <w:lang w:val="de-DE"/>
        </w:rPr>
        <w:t>teilzeit muss seit mind</w:t>
      </w:r>
      <w:r w:rsidR="00D46553">
        <w:rPr>
          <w:lang w:val="de-DE"/>
        </w:rPr>
        <w:t>estens</w:t>
      </w:r>
      <w:r w:rsidRPr="00C378C7">
        <w:rPr>
          <w:lang w:val="de-DE"/>
        </w:rPr>
        <w:t xml:space="preserve"> </w:t>
      </w:r>
      <w:r w:rsidRPr="00ED33AB">
        <w:rPr>
          <w:b/>
          <w:bCs/>
          <w:lang w:val="de-DE"/>
        </w:rPr>
        <w:t>12 Monaten</w:t>
      </w:r>
      <w:r w:rsidRPr="00C378C7">
        <w:rPr>
          <w:lang w:val="de-DE"/>
        </w:rPr>
        <w:t xml:space="preserve"> eine </w:t>
      </w:r>
      <w:r w:rsidRPr="00ED33AB">
        <w:rPr>
          <w:b/>
          <w:bCs/>
          <w:lang w:val="de-DE"/>
        </w:rPr>
        <w:t xml:space="preserve">ununterbrochene arbeitslosenversicherte Beschäftigung </w:t>
      </w:r>
      <w:r w:rsidRPr="00C378C7">
        <w:rPr>
          <w:lang w:val="de-DE"/>
        </w:rPr>
        <w:t>vorliegen.</w:t>
      </w:r>
    </w:p>
    <w:p w14:paraId="1DC3855F" w14:textId="7F2F2D38" w:rsidR="00C378C7" w:rsidRDefault="00C378C7" w:rsidP="00ED33AB">
      <w:pPr>
        <w:pStyle w:val="AufzhlungenKlifonichtfett"/>
        <w:rPr>
          <w:lang w:val="de-DE"/>
        </w:rPr>
      </w:pPr>
      <w:r w:rsidRPr="00C378C7">
        <w:rPr>
          <w:lang w:val="de-DE"/>
        </w:rPr>
        <w:t xml:space="preserve">Der </w:t>
      </w:r>
      <w:r w:rsidRPr="00C378C7">
        <w:rPr>
          <w:b/>
          <w:bCs/>
          <w:lang w:val="de-DE"/>
        </w:rPr>
        <w:t>Antrag auf Weiterbildungsbeihilfe</w:t>
      </w:r>
      <w:r w:rsidRPr="00C378C7">
        <w:rPr>
          <w:lang w:val="de-DE"/>
        </w:rPr>
        <w:t xml:space="preserve"> kann frühestens </w:t>
      </w:r>
      <w:r w:rsidRPr="00C378C7">
        <w:rPr>
          <w:b/>
          <w:bCs/>
          <w:lang w:val="de-DE"/>
        </w:rPr>
        <w:t>drei Monate vor Beginn</w:t>
      </w:r>
      <w:r w:rsidRPr="00C378C7">
        <w:rPr>
          <w:lang w:val="de-DE"/>
        </w:rPr>
        <w:t xml:space="preserve"> der Bildungs</w:t>
      </w:r>
      <w:r w:rsidR="00162F55">
        <w:rPr>
          <w:lang w:val="de-DE"/>
        </w:rPr>
        <w:softHyphen/>
      </w:r>
      <w:r w:rsidRPr="00C378C7">
        <w:rPr>
          <w:lang w:val="de-DE"/>
        </w:rPr>
        <w:t>karenz</w:t>
      </w:r>
      <w:r w:rsidR="00796A01">
        <w:rPr>
          <w:lang w:val="de-DE"/>
        </w:rPr>
        <w:t>/-</w:t>
      </w:r>
      <w:r w:rsidRPr="00C378C7">
        <w:rPr>
          <w:lang w:val="de-DE"/>
        </w:rPr>
        <w:t>teilzeit durch de</w:t>
      </w:r>
      <w:r w:rsidR="00162F55">
        <w:rPr>
          <w:lang w:val="de-DE"/>
        </w:rPr>
        <w:t>n</w:t>
      </w:r>
      <w:r w:rsidRPr="00C378C7">
        <w:rPr>
          <w:lang w:val="de-DE"/>
        </w:rPr>
        <w:t xml:space="preserve"> Arbeitnehmer eingereicht werden. Das AMS ist verpflichtet, die Entscheidung über die Genehmigung oder Ablehnung so schnell wie möglich nach Erhalt der vollständigen Unterlagen zu treffen. Für die Genehmigung wird insbesondere geprüft, ob die Bildungsmaßnahme arbeitsmarktpolitisch sinnvoll und erfolgversprechend ist.</w:t>
      </w:r>
    </w:p>
    <w:p w14:paraId="2599C880" w14:textId="70A5480A" w:rsidR="00C378C7" w:rsidRPr="00C378C7" w:rsidRDefault="00184361" w:rsidP="00C65B9B">
      <w:pPr>
        <w:shd w:val="clear" w:color="auto" w:fill="B8CCE4" w:themeFill="accent1" w:themeFillTint="66"/>
        <w:ind w:left="568"/>
        <w:jc w:val="both"/>
        <w:rPr>
          <w:lang w:val="de-DE"/>
        </w:rPr>
      </w:pPr>
      <w:r w:rsidRPr="00184361">
        <w:rPr>
          <w:b/>
          <w:bCs/>
          <w:u w:val="single"/>
          <w:lang w:val="de-DE"/>
        </w:rPr>
        <w:t>Hinweis</w:t>
      </w:r>
      <w:r>
        <w:rPr>
          <w:lang w:val="de-DE"/>
        </w:rPr>
        <w:t xml:space="preserve">: </w:t>
      </w:r>
      <w:r w:rsidRPr="00184361">
        <w:t xml:space="preserve">Das jährliche Budget für die Weiterbildungsbeihilfe ist auf </w:t>
      </w:r>
      <w:r>
        <w:t>€ </w:t>
      </w:r>
      <w:r w:rsidRPr="00184361">
        <w:t>150 Mi</w:t>
      </w:r>
      <w:r>
        <w:t xml:space="preserve">o. </w:t>
      </w:r>
      <w:r w:rsidRPr="00184361">
        <w:t>begrenzt. Bewilligungen werden daher nur erteilt, solange die verfügbaren Budgetmittel nicht ausgeschöpft sind.</w:t>
      </w:r>
    </w:p>
    <w:p w14:paraId="43CBAA6C" w14:textId="77777777" w:rsidR="00184361" w:rsidRDefault="00184361" w:rsidP="00184361">
      <w:pPr>
        <w:rPr>
          <w:lang w:val="de-DE"/>
        </w:rPr>
      </w:pPr>
    </w:p>
    <w:p w14:paraId="4E54B931" w14:textId="0FC997A7" w:rsidR="00D10836" w:rsidRDefault="00226812" w:rsidP="00F1173A">
      <w:pPr>
        <w:pStyle w:val="berschrift2"/>
        <w:rPr>
          <w:lang w:val="de-DE"/>
        </w:rPr>
      </w:pPr>
      <w:r>
        <w:rPr>
          <w:lang w:val="de-DE"/>
        </w:rPr>
        <w:t xml:space="preserve">Neue </w:t>
      </w:r>
      <w:r w:rsidR="00D10836" w:rsidRPr="00133BB5">
        <w:rPr>
          <w:lang w:val="de-DE"/>
        </w:rPr>
        <w:t>Trinkgeldpauschalen</w:t>
      </w:r>
      <w:r w:rsidRPr="00133BB5">
        <w:rPr>
          <w:lang w:val="de-DE"/>
        </w:rPr>
        <w:t xml:space="preserve"> </w:t>
      </w:r>
    </w:p>
    <w:p w14:paraId="0FBB0B4D" w14:textId="77777777" w:rsidR="00226812" w:rsidRDefault="009C6CDF" w:rsidP="00226812">
      <w:pPr>
        <w:tabs>
          <w:tab w:val="num" w:pos="720"/>
        </w:tabs>
        <w:spacing w:line="276" w:lineRule="auto"/>
        <w:jc w:val="both"/>
      </w:pPr>
      <w:r>
        <w:rPr>
          <w:lang w:val="de-DE"/>
        </w:rPr>
        <w:t>Trinkgelder gelten in der Sozialversicherung als Entgelt von Dritte</w:t>
      </w:r>
      <w:r w:rsidR="00226812">
        <w:rPr>
          <w:lang w:val="de-DE"/>
        </w:rPr>
        <w:t>r Seite</w:t>
      </w:r>
      <w:r>
        <w:rPr>
          <w:lang w:val="de-DE"/>
        </w:rPr>
        <w:t xml:space="preserve"> und unterliegen der Beitragspflicht. </w:t>
      </w:r>
      <w:r w:rsidR="000168AC" w:rsidRPr="000168AC">
        <w:t>Sie erhöhen im fraglichen Zeitraum die allgemeine Beitragsgrundlage. Eine Trinkgeldpauschale erspart Unternehmen die aufwendige Feststellung tatsächlich bezogener Trinkgelder</w:t>
      </w:r>
      <w:r w:rsidR="00226812">
        <w:t xml:space="preserve">. </w:t>
      </w:r>
    </w:p>
    <w:p w14:paraId="33CC443E" w14:textId="77777777" w:rsidR="00226812" w:rsidRDefault="00226812" w:rsidP="00226812">
      <w:pPr>
        <w:tabs>
          <w:tab w:val="num" w:pos="720"/>
        </w:tabs>
        <w:spacing w:line="276" w:lineRule="auto"/>
        <w:jc w:val="both"/>
      </w:pPr>
    </w:p>
    <w:p w14:paraId="7341A459" w14:textId="221DA1FB" w:rsidR="000168AC" w:rsidRPr="000168AC" w:rsidRDefault="00226812" w:rsidP="00226812">
      <w:pPr>
        <w:tabs>
          <w:tab w:val="num" w:pos="720"/>
        </w:tabs>
        <w:spacing w:line="276" w:lineRule="auto"/>
        <w:jc w:val="both"/>
        <w:rPr>
          <w:lang w:val="de-DE"/>
        </w:rPr>
      </w:pPr>
      <w:r w:rsidRPr="00904339">
        <w:t xml:space="preserve">Ab 1.1.2026 gelten bundesweit einheitliche Trinkgeldpauschalen für das </w:t>
      </w:r>
      <w:r w:rsidR="000168AC" w:rsidRPr="00904339">
        <w:rPr>
          <w:lang w:val="de-DE"/>
        </w:rPr>
        <w:t>Gast-, Schank- und Beherbergungsgewerbe</w:t>
      </w:r>
      <w:r w:rsidRPr="00904339">
        <w:rPr>
          <w:lang w:val="de-DE"/>
        </w:rPr>
        <w:t xml:space="preserve">, das </w:t>
      </w:r>
      <w:r w:rsidR="000168AC" w:rsidRPr="00904339">
        <w:rPr>
          <w:lang w:val="de-DE"/>
        </w:rPr>
        <w:t>Friseurgewerbe</w:t>
      </w:r>
      <w:r w:rsidRPr="00904339">
        <w:rPr>
          <w:lang w:val="de-DE"/>
        </w:rPr>
        <w:t xml:space="preserve">, für </w:t>
      </w:r>
      <w:r w:rsidR="000168AC" w:rsidRPr="00904339">
        <w:rPr>
          <w:lang w:val="de-DE"/>
        </w:rPr>
        <w:t>Fußpfleger, Kosmetiker und Masseure</w:t>
      </w:r>
      <w:r w:rsidRPr="00904339">
        <w:rPr>
          <w:lang w:val="de-DE"/>
        </w:rPr>
        <w:t xml:space="preserve"> und </w:t>
      </w:r>
      <w:r w:rsidR="00727782" w:rsidRPr="00904339">
        <w:rPr>
          <w:lang w:val="de-DE"/>
        </w:rPr>
        <w:t xml:space="preserve">für </w:t>
      </w:r>
      <w:r w:rsidRPr="00904339">
        <w:rPr>
          <w:lang w:val="de-DE"/>
        </w:rPr>
        <w:t xml:space="preserve">das </w:t>
      </w:r>
      <w:r w:rsidR="000168AC" w:rsidRPr="00904339">
        <w:rPr>
          <w:lang w:val="de-DE"/>
        </w:rPr>
        <w:t>Personenbeförderungsgewerbe</w:t>
      </w:r>
      <w:r>
        <w:rPr>
          <w:lang w:val="de-DE"/>
        </w:rPr>
        <w:t>.</w:t>
      </w:r>
    </w:p>
    <w:p w14:paraId="1AD87BD2" w14:textId="5FBA4D97" w:rsidR="000168AC" w:rsidRDefault="00226812" w:rsidP="00226812">
      <w:pPr>
        <w:jc w:val="both"/>
      </w:pPr>
      <w:r w:rsidRPr="000168AC">
        <w:t>Ausnahmen von den Pauschalbeträgen gibt es, wenn die tatsächlichen Trinkgeldeinnahmen im Beitragszeit</w:t>
      </w:r>
      <w:r>
        <w:softHyphen/>
      </w:r>
      <w:r w:rsidRPr="000168AC">
        <w:t>raum unter der Hälfte der Pauschalbeträge liegen</w:t>
      </w:r>
      <w:r>
        <w:t xml:space="preserve">. </w:t>
      </w:r>
      <w:r w:rsidR="00B26ECE">
        <w:t>Folgende Pauschalsätze</w:t>
      </w:r>
      <w:r>
        <w:t xml:space="preserve"> gelten je Beitragsmonat</w:t>
      </w:r>
      <w:r w:rsidR="00115A93">
        <w:t>:</w:t>
      </w:r>
    </w:p>
    <w:p w14:paraId="0562D879" w14:textId="77777777" w:rsidR="002C1A28" w:rsidRDefault="002C1A28" w:rsidP="00226812">
      <w:pPr>
        <w:jc w:val="both"/>
        <w:rPr>
          <w:lang w:val="de-DE"/>
        </w:rPr>
      </w:pPr>
    </w:p>
    <w:p w14:paraId="2714853F" w14:textId="77777777" w:rsidR="00E25976" w:rsidRPr="00D10836" w:rsidRDefault="00E25976" w:rsidP="00226812">
      <w:pPr>
        <w:jc w:val="both"/>
        <w:rPr>
          <w:lang w:val="de-DE"/>
        </w:rPr>
      </w:pPr>
    </w:p>
    <w:tbl>
      <w:tblPr>
        <w:tblW w:w="9498" w:type="dxa"/>
        <w:tblCellMar>
          <w:left w:w="70" w:type="dxa"/>
          <w:right w:w="70" w:type="dxa"/>
        </w:tblCellMar>
        <w:tblLook w:val="04A0" w:firstRow="1" w:lastRow="0" w:firstColumn="1" w:lastColumn="0" w:noHBand="0" w:noVBand="1"/>
      </w:tblPr>
      <w:tblGrid>
        <w:gridCol w:w="5441"/>
        <w:gridCol w:w="1505"/>
        <w:gridCol w:w="1418"/>
        <w:gridCol w:w="992"/>
        <w:gridCol w:w="142"/>
      </w:tblGrid>
      <w:tr w:rsidR="002C1A28" w:rsidRPr="002C1A28" w14:paraId="7E2A905C" w14:textId="77777777" w:rsidTr="00C65B9B">
        <w:trPr>
          <w:gridAfter w:val="1"/>
          <w:wAfter w:w="142" w:type="dxa"/>
          <w:trHeight w:val="300"/>
        </w:trPr>
        <w:tc>
          <w:tcPr>
            <w:tcW w:w="9356" w:type="dxa"/>
            <w:gridSpan w:val="4"/>
            <w:tcBorders>
              <w:top w:val="nil"/>
              <w:left w:val="nil"/>
              <w:bottom w:val="single" w:sz="4" w:space="0" w:color="auto"/>
              <w:right w:val="nil"/>
            </w:tcBorders>
            <w:shd w:val="clear" w:color="auto" w:fill="auto"/>
            <w:noWrap/>
            <w:hideMark/>
          </w:tcPr>
          <w:p w14:paraId="6781EB3E" w14:textId="13F27695" w:rsidR="002C1A28" w:rsidRPr="002C1A28" w:rsidRDefault="00115A93" w:rsidP="002C1A28">
            <w:pPr>
              <w:jc w:val="both"/>
              <w:rPr>
                <w:rFonts w:cs="Arial"/>
                <w:b/>
                <w:bCs/>
                <w:color w:val="000000"/>
                <w:lang w:val="de-DE"/>
              </w:rPr>
            </w:pPr>
            <w:r>
              <w:rPr>
                <w:rFonts w:cs="Arial"/>
                <w:b/>
                <w:bCs/>
                <w:color w:val="000000"/>
                <w:lang w:val="de-DE"/>
              </w:rPr>
              <w:lastRenderedPageBreak/>
              <w:t>S</w:t>
            </w:r>
            <w:r w:rsidR="002C1A28" w:rsidRPr="002C1A28">
              <w:rPr>
                <w:rFonts w:cs="Arial"/>
                <w:b/>
                <w:bCs/>
                <w:color w:val="000000"/>
                <w:lang w:val="de-DE"/>
              </w:rPr>
              <w:t xml:space="preserve">ozialversicherungsfreie </w:t>
            </w:r>
            <w:r w:rsidR="002C1A28" w:rsidRPr="002C1A28">
              <w:rPr>
                <w:rFonts w:cs="Arial"/>
                <w:color w:val="000000"/>
                <w:lang w:val="de-DE"/>
              </w:rPr>
              <w:t>Trinkgeldpauschalen ab 1.1.2026</w:t>
            </w:r>
          </w:p>
        </w:tc>
      </w:tr>
      <w:tr w:rsidR="002C1A28" w:rsidRPr="002C1A28" w14:paraId="649D4275"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41F1120F" w14:textId="77777777" w:rsidR="002C1A28" w:rsidRPr="002C1A28" w:rsidRDefault="002C1A28" w:rsidP="002C1A28">
            <w:pPr>
              <w:rPr>
                <w:rFonts w:ascii="Aptos Narrow" w:hAnsi="Aptos Narrow"/>
                <w:color w:val="000000"/>
                <w:sz w:val="22"/>
                <w:szCs w:val="22"/>
                <w:lang w:val="de-DE"/>
              </w:rPr>
            </w:pPr>
            <w:r w:rsidRPr="002C1A28">
              <w:rPr>
                <w:rFonts w:ascii="Aptos Narrow" w:hAnsi="Aptos Narrow"/>
                <w:color w:val="000000"/>
                <w:sz w:val="22"/>
                <w:szCs w:val="22"/>
                <w:lang w:val="de-DE"/>
              </w:rPr>
              <w:t> </w:t>
            </w:r>
          </w:p>
        </w:tc>
        <w:tc>
          <w:tcPr>
            <w:tcW w:w="1505" w:type="dxa"/>
            <w:tcBorders>
              <w:top w:val="nil"/>
              <w:left w:val="nil"/>
              <w:bottom w:val="single" w:sz="4" w:space="0" w:color="auto"/>
              <w:right w:val="single" w:sz="4" w:space="0" w:color="auto"/>
            </w:tcBorders>
            <w:shd w:val="clear" w:color="auto" w:fill="auto"/>
            <w:noWrap/>
            <w:vAlign w:val="bottom"/>
            <w:hideMark/>
          </w:tcPr>
          <w:p w14:paraId="584E8E02" w14:textId="77777777" w:rsidR="002C1A28" w:rsidRPr="002C1A28" w:rsidRDefault="002C1A28" w:rsidP="002C1A28">
            <w:pPr>
              <w:jc w:val="center"/>
              <w:rPr>
                <w:rFonts w:cs="Arial"/>
                <w:b/>
                <w:bCs/>
                <w:color w:val="000000"/>
                <w:lang w:val="de-DE"/>
              </w:rPr>
            </w:pPr>
            <w:r w:rsidRPr="002C1A28">
              <w:rPr>
                <w:rFonts w:cs="Arial"/>
                <w:b/>
                <w:bCs/>
                <w:color w:val="000000"/>
                <w:lang w:val="de-DE"/>
              </w:rPr>
              <w:t>2026</w:t>
            </w:r>
          </w:p>
        </w:tc>
        <w:tc>
          <w:tcPr>
            <w:tcW w:w="1418" w:type="dxa"/>
            <w:tcBorders>
              <w:top w:val="nil"/>
              <w:left w:val="nil"/>
              <w:bottom w:val="single" w:sz="4" w:space="0" w:color="auto"/>
              <w:right w:val="single" w:sz="4" w:space="0" w:color="auto"/>
            </w:tcBorders>
            <w:shd w:val="clear" w:color="auto" w:fill="auto"/>
            <w:noWrap/>
            <w:vAlign w:val="bottom"/>
            <w:hideMark/>
          </w:tcPr>
          <w:p w14:paraId="58AAC448" w14:textId="77777777" w:rsidR="002C1A28" w:rsidRPr="002C1A28" w:rsidRDefault="002C1A28" w:rsidP="002C1A28">
            <w:pPr>
              <w:jc w:val="center"/>
              <w:rPr>
                <w:rFonts w:cs="Arial"/>
                <w:color w:val="000000"/>
                <w:lang w:val="de-DE"/>
              </w:rPr>
            </w:pPr>
            <w:r w:rsidRPr="002C1A28">
              <w:rPr>
                <w:rFonts w:cs="Arial"/>
                <w:color w:val="000000"/>
                <w:lang w:val="de-DE"/>
              </w:rPr>
              <w:t>2027</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2A38EB07" w14:textId="77777777" w:rsidR="002C1A28" w:rsidRPr="002C1A28" w:rsidRDefault="002C1A28" w:rsidP="002C1A28">
            <w:pPr>
              <w:jc w:val="center"/>
              <w:rPr>
                <w:rFonts w:cs="Arial"/>
                <w:color w:val="000000"/>
                <w:lang w:val="de-DE"/>
              </w:rPr>
            </w:pPr>
            <w:r w:rsidRPr="002C1A28">
              <w:rPr>
                <w:rFonts w:cs="Arial"/>
                <w:color w:val="000000"/>
                <w:lang w:val="de-DE"/>
              </w:rPr>
              <w:t>2028</w:t>
            </w:r>
          </w:p>
        </w:tc>
      </w:tr>
      <w:tr w:rsidR="002C1A28" w:rsidRPr="002C1A28" w14:paraId="06FC1FFF" w14:textId="77777777" w:rsidTr="004419A0">
        <w:trPr>
          <w:trHeight w:val="300"/>
        </w:trPr>
        <w:tc>
          <w:tcPr>
            <w:tcW w:w="5441" w:type="dxa"/>
            <w:tcBorders>
              <w:top w:val="nil"/>
              <w:left w:val="single" w:sz="4" w:space="0" w:color="auto"/>
              <w:bottom w:val="single" w:sz="4" w:space="0" w:color="auto"/>
              <w:right w:val="single" w:sz="4" w:space="0" w:color="auto"/>
            </w:tcBorders>
            <w:shd w:val="clear" w:color="auto" w:fill="B8CCE4" w:themeFill="accent1" w:themeFillTint="66"/>
            <w:noWrap/>
            <w:hideMark/>
          </w:tcPr>
          <w:p w14:paraId="000B7752" w14:textId="77777777" w:rsidR="002C1A28" w:rsidRPr="002C1A28" w:rsidRDefault="002C1A28" w:rsidP="002C1A28">
            <w:pPr>
              <w:rPr>
                <w:rFonts w:cs="Arial"/>
                <w:b/>
                <w:bCs/>
                <w:color w:val="000000"/>
                <w:lang w:val="de-DE"/>
              </w:rPr>
            </w:pPr>
            <w:r w:rsidRPr="002C1A28">
              <w:rPr>
                <w:rFonts w:cs="Arial"/>
                <w:b/>
                <w:bCs/>
                <w:color w:val="000000"/>
                <w:lang w:val="de-DE"/>
              </w:rPr>
              <w:t>Gast-, Schank- und Beherbergungsgewerbe</w:t>
            </w:r>
          </w:p>
        </w:tc>
        <w:tc>
          <w:tcPr>
            <w:tcW w:w="1505" w:type="dxa"/>
            <w:tcBorders>
              <w:top w:val="nil"/>
              <w:left w:val="nil"/>
              <w:bottom w:val="single" w:sz="4" w:space="0" w:color="auto"/>
              <w:right w:val="single" w:sz="4" w:space="0" w:color="auto"/>
            </w:tcBorders>
            <w:shd w:val="clear" w:color="auto" w:fill="B8CCE4" w:themeFill="accent1" w:themeFillTint="66"/>
            <w:noWrap/>
            <w:vAlign w:val="bottom"/>
            <w:hideMark/>
          </w:tcPr>
          <w:p w14:paraId="52ED3F15" w14:textId="77777777" w:rsidR="002C1A28" w:rsidRPr="002C1A28" w:rsidRDefault="002C1A28" w:rsidP="002C1A28">
            <w:pPr>
              <w:rPr>
                <w:rFonts w:cs="Arial"/>
                <w:color w:val="000000"/>
                <w:lang w:val="de-DE"/>
              </w:rPr>
            </w:pPr>
            <w:r w:rsidRPr="002C1A28">
              <w:rPr>
                <w:rFonts w:cs="Arial"/>
                <w:color w:val="000000"/>
                <w:lang w:val="de-DE"/>
              </w:rPr>
              <w:t> </w:t>
            </w:r>
          </w:p>
        </w:tc>
        <w:tc>
          <w:tcPr>
            <w:tcW w:w="1418" w:type="dxa"/>
            <w:tcBorders>
              <w:top w:val="nil"/>
              <w:left w:val="nil"/>
              <w:bottom w:val="single" w:sz="4" w:space="0" w:color="auto"/>
              <w:right w:val="single" w:sz="4" w:space="0" w:color="auto"/>
            </w:tcBorders>
            <w:shd w:val="clear" w:color="auto" w:fill="B8CCE4" w:themeFill="accent1" w:themeFillTint="66"/>
            <w:noWrap/>
            <w:vAlign w:val="bottom"/>
            <w:hideMark/>
          </w:tcPr>
          <w:p w14:paraId="7299EE9B" w14:textId="77777777" w:rsidR="002C1A28" w:rsidRPr="002C1A28" w:rsidRDefault="002C1A28" w:rsidP="002C1A28">
            <w:pPr>
              <w:rPr>
                <w:rFonts w:cs="Arial"/>
                <w:color w:val="000000"/>
                <w:lang w:val="de-DE"/>
              </w:rPr>
            </w:pPr>
            <w:r w:rsidRPr="002C1A28">
              <w:rPr>
                <w:rFonts w:cs="Arial"/>
                <w:color w:val="000000"/>
                <w:lang w:val="de-DE"/>
              </w:rPr>
              <w:t> </w:t>
            </w:r>
          </w:p>
        </w:tc>
        <w:tc>
          <w:tcPr>
            <w:tcW w:w="1134" w:type="dxa"/>
            <w:gridSpan w:val="2"/>
            <w:tcBorders>
              <w:top w:val="nil"/>
              <w:left w:val="nil"/>
              <w:bottom w:val="single" w:sz="4" w:space="0" w:color="auto"/>
              <w:right w:val="single" w:sz="4" w:space="0" w:color="auto"/>
            </w:tcBorders>
            <w:shd w:val="clear" w:color="auto" w:fill="B8CCE4" w:themeFill="accent1" w:themeFillTint="66"/>
            <w:noWrap/>
            <w:vAlign w:val="bottom"/>
            <w:hideMark/>
          </w:tcPr>
          <w:p w14:paraId="16639FF4" w14:textId="77777777" w:rsidR="002C1A28" w:rsidRPr="002C1A28" w:rsidRDefault="002C1A28" w:rsidP="002C1A28">
            <w:pPr>
              <w:rPr>
                <w:rFonts w:cs="Arial"/>
                <w:color w:val="000000"/>
                <w:lang w:val="de-DE"/>
              </w:rPr>
            </w:pPr>
            <w:r w:rsidRPr="002C1A28">
              <w:rPr>
                <w:rFonts w:cs="Arial"/>
                <w:color w:val="000000"/>
                <w:lang w:val="de-DE"/>
              </w:rPr>
              <w:t> </w:t>
            </w:r>
          </w:p>
        </w:tc>
      </w:tr>
      <w:tr w:rsidR="002C1A28" w:rsidRPr="002C1A28" w14:paraId="42EB58CB"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116430A3" w14:textId="77777777" w:rsidR="002C1A28" w:rsidRPr="002C1A28" w:rsidRDefault="002C1A28" w:rsidP="002C1A28">
            <w:pPr>
              <w:rPr>
                <w:rFonts w:cs="Arial"/>
                <w:color w:val="000000"/>
                <w:lang w:val="de-DE"/>
              </w:rPr>
            </w:pPr>
            <w:r w:rsidRPr="002C1A28">
              <w:rPr>
                <w:rFonts w:cs="Arial"/>
                <w:color w:val="000000"/>
                <w:lang w:val="de-DE"/>
              </w:rPr>
              <w:t>Dienstnehmer mit Inkasso</w:t>
            </w:r>
          </w:p>
        </w:tc>
        <w:tc>
          <w:tcPr>
            <w:tcW w:w="1505" w:type="dxa"/>
            <w:tcBorders>
              <w:top w:val="nil"/>
              <w:left w:val="nil"/>
              <w:bottom w:val="single" w:sz="4" w:space="0" w:color="auto"/>
              <w:right w:val="single" w:sz="4" w:space="0" w:color="auto"/>
            </w:tcBorders>
            <w:shd w:val="clear" w:color="auto" w:fill="auto"/>
            <w:noWrap/>
            <w:vAlign w:val="bottom"/>
            <w:hideMark/>
          </w:tcPr>
          <w:p w14:paraId="4BAA9D21" w14:textId="77777777" w:rsidR="002C1A28" w:rsidRPr="002C1A28" w:rsidRDefault="002C1A28" w:rsidP="002C1A28">
            <w:pPr>
              <w:jc w:val="center"/>
              <w:rPr>
                <w:rFonts w:cs="Arial"/>
                <w:b/>
                <w:bCs/>
                <w:color w:val="000000"/>
                <w:lang w:val="de-DE"/>
              </w:rPr>
            </w:pPr>
            <w:r w:rsidRPr="002C1A28">
              <w:rPr>
                <w:rFonts w:cs="Arial"/>
                <w:b/>
                <w:bCs/>
                <w:color w:val="000000"/>
                <w:lang w:val="de-DE"/>
              </w:rPr>
              <w:t>€ 65</w:t>
            </w:r>
          </w:p>
        </w:tc>
        <w:tc>
          <w:tcPr>
            <w:tcW w:w="1418" w:type="dxa"/>
            <w:tcBorders>
              <w:top w:val="nil"/>
              <w:left w:val="nil"/>
              <w:bottom w:val="single" w:sz="4" w:space="0" w:color="auto"/>
              <w:right w:val="single" w:sz="4" w:space="0" w:color="auto"/>
            </w:tcBorders>
            <w:shd w:val="clear" w:color="auto" w:fill="auto"/>
            <w:noWrap/>
            <w:vAlign w:val="bottom"/>
            <w:hideMark/>
          </w:tcPr>
          <w:p w14:paraId="6B5AD281" w14:textId="77777777" w:rsidR="002C1A28" w:rsidRPr="002C1A28" w:rsidRDefault="002C1A28" w:rsidP="002C1A28">
            <w:pPr>
              <w:jc w:val="center"/>
              <w:rPr>
                <w:rFonts w:cs="Arial"/>
                <w:color w:val="000000"/>
                <w:lang w:val="de-DE"/>
              </w:rPr>
            </w:pPr>
            <w:r w:rsidRPr="002C1A28">
              <w:rPr>
                <w:rFonts w:cs="Arial"/>
                <w:color w:val="000000"/>
                <w:lang w:val="de-DE"/>
              </w:rPr>
              <w:t>€ 85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64A7EB3" w14:textId="01F54BE4" w:rsidR="002C1A28" w:rsidRPr="002C1A28" w:rsidRDefault="002C1A28" w:rsidP="002C1A28">
            <w:pPr>
              <w:rPr>
                <w:rFonts w:cs="Arial"/>
                <w:color w:val="000000"/>
                <w:lang w:val="de-DE"/>
              </w:rPr>
            </w:pPr>
            <w:r>
              <w:rPr>
                <w:rFonts w:cs="Arial"/>
                <w:color w:val="000000"/>
                <w:lang w:val="de-DE"/>
              </w:rPr>
              <w:t xml:space="preserve">  </w:t>
            </w:r>
            <w:r w:rsidRPr="002C1A28">
              <w:rPr>
                <w:rFonts w:cs="Arial"/>
                <w:color w:val="000000"/>
                <w:lang w:val="de-DE"/>
              </w:rPr>
              <w:t>€ 100</w:t>
            </w:r>
          </w:p>
        </w:tc>
      </w:tr>
      <w:tr w:rsidR="002C1A28" w:rsidRPr="002C1A28" w14:paraId="3F916116"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59BA2D53" w14:textId="77777777" w:rsidR="002C1A28" w:rsidRPr="002C1A28" w:rsidRDefault="002C1A28" w:rsidP="002C1A28">
            <w:pPr>
              <w:rPr>
                <w:rFonts w:cs="Arial"/>
                <w:color w:val="000000"/>
                <w:lang w:val="de-DE"/>
              </w:rPr>
            </w:pPr>
            <w:r w:rsidRPr="002C1A28">
              <w:rPr>
                <w:rFonts w:cs="Arial"/>
                <w:color w:val="000000"/>
                <w:lang w:val="de-DE"/>
              </w:rPr>
              <w:t>Dienstnehmer ohne Inkasso</w:t>
            </w:r>
          </w:p>
        </w:tc>
        <w:tc>
          <w:tcPr>
            <w:tcW w:w="1505" w:type="dxa"/>
            <w:tcBorders>
              <w:top w:val="nil"/>
              <w:left w:val="nil"/>
              <w:bottom w:val="single" w:sz="4" w:space="0" w:color="auto"/>
              <w:right w:val="single" w:sz="4" w:space="0" w:color="auto"/>
            </w:tcBorders>
            <w:shd w:val="clear" w:color="auto" w:fill="auto"/>
            <w:noWrap/>
            <w:vAlign w:val="bottom"/>
            <w:hideMark/>
          </w:tcPr>
          <w:p w14:paraId="5669B13A" w14:textId="77777777" w:rsidR="002C1A28" w:rsidRPr="002C1A28" w:rsidRDefault="002C1A28" w:rsidP="002C1A28">
            <w:pPr>
              <w:jc w:val="center"/>
              <w:rPr>
                <w:rFonts w:cs="Arial"/>
                <w:b/>
                <w:bCs/>
                <w:color w:val="000000"/>
                <w:lang w:val="de-DE"/>
              </w:rPr>
            </w:pPr>
            <w:r w:rsidRPr="002C1A28">
              <w:rPr>
                <w:rFonts w:cs="Arial"/>
                <w:b/>
                <w:bCs/>
                <w:color w:val="000000"/>
                <w:lang w:val="de-DE"/>
              </w:rPr>
              <w:t>€ 45</w:t>
            </w:r>
          </w:p>
        </w:tc>
        <w:tc>
          <w:tcPr>
            <w:tcW w:w="1418" w:type="dxa"/>
            <w:tcBorders>
              <w:top w:val="nil"/>
              <w:left w:val="nil"/>
              <w:bottom w:val="single" w:sz="4" w:space="0" w:color="auto"/>
              <w:right w:val="single" w:sz="4" w:space="0" w:color="auto"/>
            </w:tcBorders>
            <w:shd w:val="clear" w:color="auto" w:fill="auto"/>
            <w:noWrap/>
            <w:vAlign w:val="bottom"/>
            <w:hideMark/>
          </w:tcPr>
          <w:p w14:paraId="2FC0E360" w14:textId="77777777" w:rsidR="002C1A28" w:rsidRPr="002C1A28" w:rsidRDefault="002C1A28" w:rsidP="002C1A28">
            <w:pPr>
              <w:jc w:val="center"/>
              <w:rPr>
                <w:rFonts w:cs="Arial"/>
                <w:color w:val="000000"/>
                <w:lang w:val="de-DE"/>
              </w:rPr>
            </w:pPr>
            <w:r w:rsidRPr="002C1A28">
              <w:rPr>
                <w:rFonts w:cs="Arial"/>
                <w:color w:val="000000"/>
                <w:lang w:val="de-DE"/>
              </w:rPr>
              <w:t>€ 45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5DFA388" w14:textId="77777777" w:rsidR="002C1A28" w:rsidRPr="002C1A28" w:rsidRDefault="002C1A28" w:rsidP="002C1A28">
            <w:pPr>
              <w:jc w:val="center"/>
              <w:rPr>
                <w:rFonts w:cs="Arial"/>
                <w:color w:val="000000"/>
                <w:lang w:val="de-DE"/>
              </w:rPr>
            </w:pPr>
            <w:r w:rsidRPr="002C1A28">
              <w:rPr>
                <w:rFonts w:cs="Arial"/>
                <w:color w:val="000000"/>
                <w:lang w:val="de-DE"/>
              </w:rPr>
              <w:t>€ 50</w:t>
            </w:r>
          </w:p>
        </w:tc>
      </w:tr>
      <w:tr w:rsidR="002C1A28" w:rsidRPr="002C1A28" w14:paraId="6944039F"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47466A2D" w14:textId="77777777" w:rsidR="002C1A28" w:rsidRPr="002C1A28" w:rsidRDefault="002C1A28" w:rsidP="002C1A28">
            <w:pPr>
              <w:rPr>
                <w:rFonts w:cs="Arial"/>
                <w:color w:val="000000"/>
                <w:lang w:val="de-DE"/>
              </w:rPr>
            </w:pPr>
            <w:r w:rsidRPr="002C1A28">
              <w:rPr>
                <w:rFonts w:cs="Arial"/>
                <w:color w:val="000000"/>
                <w:lang w:val="de-DE"/>
              </w:rPr>
              <w:t>Lehrling/Pflichtpraktikant</w:t>
            </w:r>
          </w:p>
        </w:tc>
        <w:tc>
          <w:tcPr>
            <w:tcW w:w="1505" w:type="dxa"/>
            <w:tcBorders>
              <w:top w:val="nil"/>
              <w:left w:val="nil"/>
              <w:bottom w:val="single" w:sz="4" w:space="0" w:color="auto"/>
              <w:right w:val="single" w:sz="4" w:space="0" w:color="auto"/>
            </w:tcBorders>
            <w:shd w:val="clear" w:color="auto" w:fill="auto"/>
            <w:noWrap/>
            <w:vAlign w:val="bottom"/>
            <w:hideMark/>
          </w:tcPr>
          <w:p w14:paraId="73640A60" w14:textId="77777777" w:rsidR="002C1A28" w:rsidRPr="002C1A28" w:rsidRDefault="002C1A28" w:rsidP="002C1A28">
            <w:pPr>
              <w:jc w:val="center"/>
              <w:rPr>
                <w:rFonts w:cs="Arial"/>
                <w:b/>
                <w:bCs/>
                <w:color w:val="000000"/>
                <w:lang w:val="de-DE"/>
              </w:rPr>
            </w:pPr>
            <w:r w:rsidRPr="002C1A28">
              <w:rPr>
                <w:rFonts w:cs="Arial"/>
                <w:b/>
                <w:bCs/>
                <w:color w:val="000000"/>
                <w:lang w:val="de-DE"/>
              </w:rPr>
              <w:t>€ 20</w:t>
            </w:r>
          </w:p>
        </w:tc>
        <w:tc>
          <w:tcPr>
            <w:tcW w:w="1418" w:type="dxa"/>
            <w:tcBorders>
              <w:top w:val="nil"/>
              <w:left w:val="nil"/>
              <w:bottom w:val="single" w:sz="4" w:space="0" w:color="auto"/>
              <w:right w:val="single" w:sz="4" w:space="0" w:color="auto"/>
            </w:tcBorders>
            <w:shd w:val="clear" w:color="auto" w:fill="auto"/>
            <w:noWrap/>
            <w:vAlign w:val="bottom"/>
            <w:hideMark/>
          </w:tcPr>
          <w:p w14:paraId="5FEEF065" w14:textId="77777777" w:rsidR="002C1A28" w:rsidRPr="002C1A28" w:rsidRDefault="002C1A28" w:rsidP="002C1A28">
            <w:pPr>
              <w:jc w:val="center"/>
              <w:rPr>
                <w:rFonts w:cs="Arial"/>
                <w:color w:val="000000"/>
                <w:lang w:val="de-DE"/>
              </w:rPr>
            </w:pPr>
            <w:r w:rsidRPr="002C1A28">
              <w:rPr>
                <w:rFonts w:cs="Arial"/>
                <w:color w:val="000000"/>
                <w:lang w:val="de-DE"/>
              </w:rPr>
              <w:t>€ 20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C8945B4" w14:textId="77777777" w:rsidR="002C1A28" w:rsidRPr="002C1A28" w:rsidRDefault="002C1A28" w:rsidP="002C1A28">
            <w:pPr>
              <w:jc w:val="center"/>
              <w:rPr>
                <w:rFonts w:cs="Arial"/>
                <w:color w:val="000000"/>
                <w:lang w:val="de-DE"/>
              </w:rPr>
            </w:pPr>
            <w:r w:rsidRPr="002C1A28">
              <w:rPr>
                <w:rFonts w:cs="Arial"/>
                <w:color w:val="000000"/>
                <w:lang w:val="de-DE"/>
              </w:rPr>
              <w:t>€ 25</w:t>
            </w:r>
          </w:p>
        </w:tc>
      </w:tr>
      <w:tr w:rsidR="002C1A28" w:rsidRPr="002C1A28" w14:paraId="311997F2" w14:textId="77777777" w:rsidTr="004419A0">
        <w:trPr>
          <w:trHeight w:val="300"/>
        </w:trPr>
        <w:tc>
          <w:tcPr>
            <w:tcW w:w="5441"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714BE711" w14:textId="77777777" w:rsidR="002C1A28" w:rsidRPr="002C1A28" w:rsidRDefault="002C1A28" w:rsidP="002C1A28">
            <w:pPr>
              <w:rPr>
                <w:rFonts w:cs="Arial"/>
                <w:b/>
                <w:bCs/>
                <w:color w:val="000000"/>
                <w:lang w:val="de-DE"/>
              </w:rPr>
            </w:pPr>
            <w:r w:rsidRPr="002C1A28">
              <w:rPr>
                <w:rFonts w:cs="Arial"/>
                <w:b/>
                <w:bCs/>
                <w:color w:val="000000"/>
                <w:lang w:val="de-DE"/>
              </w:rPr>
              <w:t>Friseurgewerbe</w:t>
            </w:r>
          </w:p>
        </w:tc>
        <w:tc>
          <w:tcPr>
            <w:tcW w:w="1505" w:type="dxa"/>
            <w:tcBorders>
              <w:top w:val="nil"/>
              <w:left w:val="nil"/>
              <w:bottom w:val="single" w:sz="4" w:space="0" w:color="auto"/>
              <w:right w:val="single" w:sz="4" w:space="0" w:color="auto"/>
            </w:tcBorders>
            <w:shd w:val="clear" w:color="auto" w:fill="B8CCE4" w:themeFill="accent1" w:themeFillTint="66"/>
            <w:noWrap/>
            <w:vAlign w:val="bottom"/>
            <w:hideMark/>
          </w:tcPr>
          <w:p w14:paraId="07EC5E22" w14:textId="3C174797" w:rsidR="002C1A28" w:rsidRPr="002C1A28" w:rsidRDefault="002C1A28" w:rsidP="002C1A28">
            <w:pPr>
              <w:jc w:val="center"/>
              <w:rPr>
                <w:rFonts w:cs="Arial"/>
                <w:b/>
                <w:bCs/>
                <w:color w:val="000000"/>
                <w:lang w:val="de-DE"/>
              </w:rPr>
            </w:pPr>
          </w:p>
        </w:tc>
        <w:tc>
          <w:tcPr>
            <w:tcW w:w="1418" w:type="dxa"/>
            <w:tcBorders>
              <w:top w:val="nil"/>
              <w:left w:val="nil"/>
              <w:bottom w:val="single" w:sz="4" w:space="0" w:color="auto"/>
              <w:right w:val="single" w:sz="4" w:space="0" w:color="auto"/>
            </w:tcBorders>
            <w:shd w:val="clear" w:color="auto" w:fill="B8CCE4" w:themeFill="accent1" w:themeFillTint="66"/>
            <w:noWrap/>
            <w:vAlign w:val="bottom"/>
            <w:hideMark/>
          </w:tcPr>
          <w:p w14:paraId="11E3E1A5" w14:textId="64223715" w:rsidR="002C1A28" w:rsidRPr="002C1A28" w:rsidRDefault="002C1A28" w:rsidP="002C1A28">
            <w:pPr>
              <w:jc w:val="center"/>
              <w:rPr>
                <w:rFonts w:cs="Arial"/>
                <w:color w:val="000000"/>
                <w:lang w:val="de-DE"/>
              </w:rPr>
            </w:pPr>
          </w:p>
        </w:tc>
        <w:tc>
          <w:tcPr>
            <w:tcW w:w="1134" w:type="dxa"/>
            <w:gridSpan w:val="2"/>
            <w:tcBorders>
              <w:top w:val="nil"/>
              <w:left w:val="nil"/>
              <w:bottom w:val="single" w:sz="4" w:space="0" w:color="auto"/>
              <w:right w:val="single" w:sz="4" w:space="0" w:color="auto"/>
            </w:tcBorders>
            <w:shd w:val="clear" w:color="auto" w:fill="B8CCE4" w:themeFill="accent1" w:themeFillTint="66"/>
            <w:noWrap/>
            <w:vAlign w:val="bottom"/>
            <w:hideMark/>
          </w:tcPr>
          <w:p w14:paraId="6E543F9F" w14:textId="0FA8088F" w:rsidR="002C1A28" w:rsidRPr="002C1A28" w:rsidRDefault="002C1A28" w:rsidP="002C1A28">
            <w:pPr>
              <w:jc w:val="center"/>
              <w:rPr>
                <w:rFonts w:cs="Arial"/>
                <w:color w:val="000000"/>
                <w:lang w:val="de-DE"/>
              </w:rPr>
            </w:pPr>
          </w:p>
        </w:tc>
      </w:tr>
      <w:tr w:rsidR="002C1A28" w:rsidRPr="002C1A28" w14:paraId="38AA5FC7"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3DE6E905" w14:textId="77777777" w:rsidR="002C1A28" w:rsidRPr="002C1A28" w:rsidRDefault="002C1A28" w:rsidP="002C1A28">
            <w:pPr>
              <w:rPr>
                <w:rFonts w:cs="Arial"/>
                <w:color w:val="000000"/>
                <w:lang w:val="de-DE"/>
              </w:rPr>
            </w:pPr>
            <w:r w:rsidRPr="002C1A28">
              <w:rPr>
                <w:rFonts w:cs="Arial"/>
                <w:color w:val="000000"/>
                <w:lang w:val="de-DE"/>
              </w:rPr>
              <w:t>Dienstnehmer</w:t>
            </w:r>
          </w:p>
        </w:tc>
        <w:tc>
          <w:tcPr>
            <w:tcW w:w="1505" w:type="dxa"/>
            <w:tcBorders>
              <w:top w:val="nil"/>
              <w:left w:val="nil"/>
              <w:bottom w:val="single" w:sz="4" w:space="0" w:color="auto"/>
              <w:right w:val="single" w:sz="4" w:space="0" w:color="auto"/>
            </w:tcBorders>
            <w:shd w:val="clear" w:color="auto" w:fill="auto"/>
            <w:noWrap/>
            <w:vAlign w:val="bottom"/>
            <w:hideMark/>
          </w:tcPr>
          <w:p w14:paraId="5E8630F1" w14:textId="77777777" w:rsidR="002C1A28" w:rsidRPr="002C1A28" w:rsidRDefault="002C1A28" w:rsidP="002C1A28">
            <w:pPr>
              <w:jc w:val="center"/>
              <w:rPr>
                <w:rFonts w:cs="Arial"/>
                <w:b/>
                <w:bCs/>
                <w:color w:val="000000"/>
                <w:lang w:val="de-DE"/>
              </w:rPr>
            </w:pPr>
            <w:r w:rsidRPr="002C1A28">
              <w:rPr>
                <w:rFonts w:cs="Arial"/>
                <w:b/>
                <w:bCs/>
                <w:color w:val="000000"/>
                <w:lang w:val="de-DE"/>
              </w:rPr>
              <w:t>€ 70</w:t>
            </w:r>
          </w:p>
        </w:tc>
        <w:tc>
          <w:tcPr>
            <w:tcW w:w="1418" w:type="dxa"/>
            <w:tcBorders>
              <w:top w:val="nil"/>
              <w:left w:val="nil"/>
              <w:bottom w:val="single" w:sz="4" w:space="0" w:color="auto"/>
              <w:right w:val="single" w:sz="4" w:space="0" w:color="auto"/>
            </w:tcBorders>
            <w:shd w:val="clear" w:color="auto" w:fill="auto"/>
            <w:noWrap/>
            <w:vAlign w:val="bottom"/>
            <w:hideMark/>
          </w:tcPr>
          <w:p w14:paraId="5D107C5E" w14:textId="77777777" w:rsidR="002C1A28" w:rsidRPr="002C1A28" w:rsidRDefault="002C1A28" w:rsidP="002C1A28">
            <w:pPr>
              <w:jc w:val="center"/>
              <w:rPr>
                <w:rFonts w:cs="Arial"/>
                <w:color w:val="000000"/>
                <w:lang w:val="de-DE"/>
              </w:rPr>
            </w:pPr>
            <w:r w:rsidRPr="002C1A28">
              <w:rPr>
                <w:rFonts w:cs="Arial"/>
                <w:color w:val="000000"/>
                <w:lang w:val="de-DE"/>
              </w:rPr>
              <w:t>€ 85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5C8014CA" w14:textId="043E4B37" w:rsidR="002C1A28" w:rsidRPr="002C1A28" w:rsidRDefault="002C1A28" w:rsidP="002C1A28">
            <w:pPr>
              <w:rPr>
                <w:rFonts w:cs="Arial"/>
                <w:color w:val="000000"/>
                <w:lang w:val="de-DE"/>
              </w:rPr>
            </w:pPr>
            <w:r>
              <w:rPr>
                <w:rFonts w:cs="Arial"/>
                <w:color w:val="000000"/>
                <w:lang w:val="de-DE"/>
              </w:rPr>
              <w:t xml:space="preserve">  </w:t>
            </w:r>
            <w:r w:rsidRPr="002C1A28">
              <w:rPr>
                <w:rFonts w:cs="Arial"/>
                <w:color w:val="000000"/>
                <w:lang w:val="de-DE"/>
              </w:rPr>
              <w:t>€ 100</w:t>
            </w:r>
          </w:p>
        </w:tc>
      </w:tr>
      <w:tr w:rsidR="002C1A28" w:rsidRPr="002C1A28" w14:paraId="499EF0EA"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7B291953" w14:textId="77777777" w:rsidR="002C1A28" w:rsidRPr="002C1A28" w:rsidRDefault="002C1A28" w:rsidP="002C1A28">
            <w:pPr>
              <w:rPr>
                <w:rFonts w:cs="Arial"/>
                <w:color w:val="000000"/>
                <w:lang w:val="de-DE"/>
              </w:rPr>
            </w:pPr>
            <w:r w:rsidRPr="002C1A28">
              <w:rPr>
                <w:rFonts w:cs="Arial"/>
                <w:color w:val="000000"/>
                <w:lang w:val="de-DE"/>
              </w:rPr>
              <w:t>Lehrling</w:t>
            </w:r>
          </w:p>
        </w:tc>
        <w:tc>
          <w:tcPr>
            <w:tcW w:w="1505" w:type="dxa"/>
            <w:tcBorders>
              <w:top w:val="nil"/>
              <w:left w:val="nil"/>
              <w:bottom w:val="single" w:sz="4" w:space="0" w:color="auto"/>
              <w:right w:val="single" w:sz="4" w:space="0" w:color="auto"/>
            </w:tcBorders>
            <w:shd w:val="clear" w:color="auto" w:fill="auto"/>
            <w:noWrap/>
            <w:vAlign w:val="bottom"/>
            <w:hideMark/>
          </w:tcPr>
          <w:p w14:paraId="72BD82A8" w14:textId="77777777" w:rsidR="002C1A28" w:rsidRPr="002C1A28" w:rsidRDefault="002C1A28" w:rsidP="002C1A28">
            <w:pPr>
              <w:jc w:val="center"/>
              <w:rPr>
                <w:rFonts w:cs="Arial"/>
                <w:b/>
                <w:bCs/>
                <w:color w:val="000000"/>
                <w:lang w:val="de-DE"/>
              </w:rPr>
            </w:pPr>
            <w:r w:rsidRPr="002C1A28">
              <w:rPr>
                <w:rFonts w:cs="Arial"/>
                <w:b/>
                <w:bCs/>
                <w:color w:val="000000"/>
                <w:lang w:val="de-DE"/>
              </w:rPr>
              <w:t>€ 22</w:t>
            </w:r>
          </w:p>
        </w:tc>
        <w:tc>
          <w:tcPr>
            <w:tcW w:w="1418" w:type="dxa"/>
            <w:tcBorders>
              <w:top w:val="nil"/>
              <w:left w:val="nil"/>
              <w:bottom w:val="single" w:sz="4" w:space="0" w:color="auto"/>
              <w:right w:val="single" w:sz="4" w:space="0" w:color="auto"/>
            </w:tcBorders>
            <w:shd w:val="clear" w:color="auto" w:fill="auto"/>
            <w:noWrap/>
            <w:vAlign w:val="bottom"/>
            <w:hideMark/>
          </w:tcPr>
          <w:p w14:paraId="6B4A4A75" w14:textId="77777777" w:rsidR="002C1A28" w:rsidRPr="002C1A28" w:rsidRDefault="002C1A28" w:rsidP="002C1A28">
            <w:pPr>
              <w:jc w:val="center"/>
              <w:rPr>
                <w:rFonts w:cs="Arial"/>
                <w:color w:val="000000"/>
                <w:lang w:val="de-DE"/>
              </w:rPr>
            </w:pPr>
            <w:r w:rsidRPr="002C1A28">
              <w:rPr>
                <w:rFonts w:cs="Arial"/>
                <w:color w:val="000000"/>
                <w:lang w:val="de-DE"/>
              </w:rPr>
              <w:t>€ 22</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1C176C35" w14:textId="77777777" w:rsidR="002C1A28" w:rsidRPr="002C1A28" w:rsidRDefault="002C1A28" w:rsidP="002C1A28">
            <w:pPr>
              <w:jc w:val="center"/>
              <w:rPr>
                <w:rFonts w:cs="Arial"/>
                <w:color w:val="000000"/>
                <w:lang w:val="de-DE"/>
              </w:rPr>
            </w:pPr>
            <w:r w:rsidRPr="002C1A28">
              <w:rPr>
                <w:rFonts w:cs="Arial"/>
                <w:color w:val="000000"/>
                <w:lang w:val="de-DE"/>
              </w:rPr>
              <w:t>€ 25</w:t>
            </w:r>
          </w:p>
        </w:tc>
      </w:tr>
      <w:tr w:rsidR="002C1A28" w:rsidRPr="002C1A28" w14:paraId="712433CE" w14:textId="77777777" w:rsidTr="004419A0">
        <w:trPr>
          <w:trHeight w:val="300"/>
        </w:trPr>
        <w:tc>
          <w:tcPr>
            <w:tcW w:w="5441" w:type="dxa"/>
            <w:tcBorders>
              <w:top w:val="nil"/>
              <w:left w:val="single" w:sz="4" w:space="0" w:color="auto"/>
              <w:bottom w:val="single" w:sz="4" w:space="0" w:color="auto"/>
              <w:right w:val="single" w:sz="4" w:space="0" w:color="auto"/>
            </w:tcBorders>
            <w:shd w:val="clear" w:color="auto" w:fill="B8CCE4" w:themeFill="accent1" w:themeFillTint="66"/>
            <w:noWrap/>
            <w:hideMark/>
          </w:tcPr>
          <w:p w14:paraId="718D1BAB" w14:textId="77777777" w:rsidR="002C1A28" w:rsidRPr="002C1A28" w:rsidRDefault="002C1A28" w:rsidP="002C1A28">
            <w:pPr>
              <w:rPr>
                <w:rFonts w:cs="Arial"/>
                <w:b/>
                <w:bCs/>
                <w:color w:val="000000"/>
                <w:lang w:val="de-DE"/>
              </w:rPr>
            </w:pPr>
            <w:r w:rsidRPr="002C1A28">
              <w:rPr>
                <w:rFonts w:cs="Arial"/>
                <w:b/>
                <w:bCs/>
                <w:color w:val="000000"/>
                <w:lang w:val="de-DE"/>
              </w:rPr>
              <w:t>Fußpfleger, Kosmetiker und Masseure</w:t>
            </w:r>
          </w:p>
        </w:tc>
        <w:tc>
          <w:tcPr>
            <w:tcW w:w="1505" w:type="dxa"/>
            <w:tcBorders>
              <w:top w:val="nil"/>
              <w:left w:val="nil"/>
              <w:bottom w:val="single" w:sz="4" w:space="0" w:color="auto"/>
              <w:right w:val="single" w:sz="4" w:space="0" w:color="auto"/>
            </w:tcBorders>
            <w:shd w:val="clear" w:color="auto" w:fill="B8CCE4" w:themeFill="accent1" w:themeFillTint="66"/>
            <w:noWrap/>
            <w:vAlign w:val="bottom"/>
            <w:hideMark/>
          </w:tcPr>
          <w:p w14:paraId="4D6B6715" w14:textId="3C5D06F4" w:rsidR="002C1A28" w:rsidRPr="002C1A28" w:rsidRDefault="002C1A28" w:rsidP="002C1A28">
            <w:pPr>
              <w:jc w:val="center"/>
              <w:rPr>
                <w:rFonts w:cs="Arial"/>
                <w:b/>
                <w:bCs/>
                <w:color w:val="000000"/>
                <w:lang w:val="de-DE"/>
              </w:rPr>
            </w:pPr>
          </w:p>
        </w:tc>
        <w:tc>
          <w:tcPr>
            <w:tcW w:w="1418" w:type="dxa"/>
            <w:tcBorders>
              <w:top w:val="nil"/>
              <w:left w:val="nil"/>
              <w:bottom w:val="single" w:sz="4" w:space="0" w:color="auto"/>
              <w:right w:val="single" w:sz="4" w:space="0" w:color="auto"/>
            </w:tcBorders>
            <w:shd w:val="clear" w:color="auto" w:fill="B8CCE4" w:themeFill="accent1" w:themeFillTint="66"/>
            <w:noWrap/>
            <w:vAlign w:val="bottom"/>
            <w:hideMark/>
          </w:tcPr>
          <w:p w14:paraId="2C5E6320" w14:textId="57E09089" w:rsidR="002C1A28" w:rsidRPr="002C1A28" w:rsidRDefault="002C1A28" w:rsidP="002C1A28">
            <w:pPr>
              <w:jc w:val="center"/>
              <w:rPr>
                <w:rFonts w:cs="Arial"/>
                <w:color w:val="000000"/>
                <w:lang w:val="de-DE"/>
              </w:rPr>
            </w:pPr>
          </w:p>
        </w:tc>
        <w:tc>
          <w:tcPr>
            <w:tcW w:w="1134" w:type="dxa"/>
            <w:gridSpan w:val="2"/>
            <w:tcBorders>
              <w:top w:val="nil"/>
              <w:left w:val="nil"/>
              <w:bottom w:val="single" w:sz="4" w:space="0" w:color="auto"/>
              <w:right w:val="single" w:sz="4" w:space="0" w:color="auto"/>
            </w:tcBorders>
            <w:shd w:val="clear" w:color="auto" w:fill="B8CCE4" w:themeFill="accent1" w:themeFillTint="66"/>
            <w:noWrap/>
            <w:vAlign w:val="bottom"/>
            <w:hideMark/>
          </w:tcPr>
          <w:p w14:paraId="3C0D9BF1" w14:textId="5D15C610" w:rsidR="002C1A28" w:rsidRPr="002C1A28" w:rsidRDefault="002C1A28" w:rsidP="002C1A28">
            <w:pPr>
              <w:jc w:val="center"/>
              <w:rPr>
                <w:rFonts w:cs="Arial"/>
                <w:color w:val="000000"/>
                <w:lang w:val="de-DE"/>
              </w:rPr>
            </w:pPr>
          </w:p>
        </w:tc>
      </w:tr>
      <w:tr w:rsidR="002C1A28" w:rsidRPr="002C1A28" w14:paraId="5F225F30"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14E45C13" w14:textId="77777777" w:rsidR="002C1A28" w:rsidRPr="002C1A28" w:rsidRDefault="002C1A28" w:rsidP="002C1A28">
            <w:pPr>
              <w:rPr>
                <w:rFonts w:cs="Arial"/>
                <w:color w:val="000000"/>
                <w:lang w:val="de-DE"/>
              </w:rPr>
            </w:pPr>
            <w:r w:rsidRPr="002C1A28">
              <w:rPr>
                <w:rFonts w:cs="Arial"/>
                <w:color w:val="000000"/>
                <w:lang w:val="de-DE"/>
              </w:rPr>
              <w:t>Dienstnehmer</w:t>
            </w:r>
          </w:p>
        </w:tc>
        <w:tc>
          <w:tcPr>
            <w:tcW w:w="1505" w:type="dxa"/>
            <w:tcBorders>
              <w:top w:val="nil"/>
              <w:left w:val="nil"/>
              <w:bottom w:val="single" w:sz="4" w:space="0" w:color="auto"/>
              <w:right w:val="single" w:sz="4" w:space="0" w:color="auto"/>
            </w:tcBorders>
            <w:shd w:val="clear" w:color="auto" w:fill="auto"/>
            <w:noWrap/>
            <w:vAlign w:val="bottom"/>
            <w:hideMark/>
          </w:tcPr>
          <w:p w14:paraId="17AD10A8" w14:textId="77777777" w:rsidR="002C1A28" w:rsidRPr="002C1A28" w:rsidRDefault="002C1A28" w:rsidP="002C1A28">
            <w:pPr>
              <w:jc w:val="center"/>
              <w:rPr>
                <w:rFonts w:cs="Arial"/>
                <w:b/>
                <w:bCs/>
                <w:color w:val="000000"/>
                <w:lang w:val="de-DE"/>
              </w:rPr>
            </w:pPr>
            <w:r w:rsidRPr="002C1A28">
              <w:rPr>
                <w:rFonts w:cs="Arial"/>
                <w:b/>
                <w:bCs/>
                <w:color w:val="000000"/>
                <w:lang w:val="de-DE"/>
              </w:rPr>
              <w:t>€ 65</w:t>
            </w:r>
          </w:p>
        </w:tc>
        <w:tc>
          <w:tcPr>
            <w:tcW w:w="1418" w:type="dxa"/>
            <w:tcBorders>
              <w:top w:val="nil"/>
              <w:left w:val="nil"/>
              <w:bottom w:val="single" w:sz="4" w:space="0" w:color="auto"/>
              <w:right w:val="single" w:sz="4" w:space="0" w:color="auto"/>
            </w:tcBorders>
            <w:shd w:val="clear" w:color="auto" w:fill="auto"/>
            <w:noWrap/>
            <w:vAlign w:val="bottom"/>
            <w:hideMark/>
          </w:tcPr>
          <w:p w14:paraId="6564C902" w14:textId="77777777" w:rsidR="002C1A28" w:rsidRPr="002C1A28" w:rsidRDefault="002C1A28" w:rsidP="002C1A28">
            <w:pPr>
              <w:jc w:val="center"/>
              <w:rPr>
                <w:rFonts w:cs="Arial"/>
                <w:color w:val="000000"/>
                <w:lang w:val="de-DE"/>
              </w:rPr>
            </w:pPr>
            <w:r w:rsidRPr="002C1A28">
              <w:rPr>
                <w:rFonts w:cs="Arial"/>
                <w:color w:val="000000"/>
                <w:lang w:val="de-DE"/>
              </w:rPr>
              <w:t>€ 85</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680329B" w14:textId="56B633EE" w:rsidR="002C1A28" w:rsidRPr="002C1A28" w:rsidRDefault="002C1A28" w:rsidP="002C1A28">
            <w:pPr>
              <w:rPr>
                <w:rFonts w:cs="Arial"/>
                <w:color w:val="000000"/>
                <w:lang w:val="de-DE"/>
              </w:rPr>
            </w:pPr>
            <w:r>
              <w:rPr>
                <w:rFonts w:cs="Arial"/>
                <w:color w:val="000000"/>
                <w:lang w:val="de-DE"/>
              </w:rPr>
              <w:t xml:space="preserve">  </w:t>
            </w:r>
            <w:r w:rsidRPr="002C1A28">
              <w:rPr>
                <w:rFonts w:cs="Arial"/>
                <w:color w:val="000000"/>
                <w:lang w:val="de-DE"/>
              </w:rPr>
              <w:t>€ 100</w:t>
            </w:r>
          </w:p>
        </w:tc>
      </w:tr>
      <w:tr w:rsidR="002C1A28" w:rsidRPr="002C1A28" w14:paraId="31B0A7ED"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44AAB072" w14:textId="77777777" w:rsidR="002C1A28" w:rsidRPr="002C1A28" w:rsidRDefault="002C1A28" w:rsidP="002C1A28">
            <w:pPr>
              <w:rPr>
                <w:rFonts w:cs="Arial"/>
                <w:color w:val="000000"/>
                <w:lang w:val="de-DE"/>
              </w:rPr>
            </w:pPr>
            <w:r w:rsidRPr="002C1A28">
              <w:rPr>
                <w:rFonts w:cs="Arial"/>
                <w:color w:val="000000"/>
                <w:lang w:val="de-DE"/>
              </w:rPr>
              <w:t>Lehrling</w:t>
            </w:r>
          </w:p>
        </w:tc>
        <w:tc>
          <w:tcPr>
            <w:tcW w:w="1505" w:type="dxa"/>
            <w:tcBorders>
              <w:top w:val="nil"/>
              <w:left w:val="nil"/>
              <w:bottom w:val="single" w:sz="4" w:space="0" w:color="auto"/>
              <w:right w:val="single" w:sz="4" w:space="0" w:color="auto"/>
            </w:tcBorders>
            <w:shd w:val="clear" w:color="auto" w:fill="auto"/>
            <w:noWrap/>
            <w:vAlign w:val="bottom"/>
            <w:hideMark/>
          </w:tcPr>
          <w:p w14:paraId="633FD07E" w14:textId="77777777" w:rsidR="002C1A28" w:rsidRPr="002C1A28" w:rsidRDefault="002C1A28" w:rsidP="002C1A28">
            <w:pPr>
              <w:jc w:val="center"/>
              <w:rPr>
                <w:rFonts w:cs="Arial"/>
                <w:b/>
                <w:bCs/>
                <w:color w:val="000000"/>
                <w:lang w:val="de-DE"/>
              </w:rPr>
            </w:pPr>
            <w:r w:rsidRPr="002C1A28">
              <w:rPr>
                <w:rFonts w:cs="Arial"/>
                <w:b/>
                <w:bCs/>
                <w:color w:val="000000"/>
                <w:lang w:val="de-DE"/>
              </w:rPr>
              <w:t>€ 20</w:t>
            </w:r>
          </w:p>
        </w:tc>
        <w:tc>
          <w:tcPr>
            <w:tcW w:w="1418" w:type="dxa"/>
            <w:tcBorders>
              <w:top w:val="nil"/>
              <w:left w:val="nil"/>
              <w:bottom w:val="single" w:sz="4" w:space="0" w:color="auto"/>
              <w:right w:val="single" w:sz="4" w:space="0" w:color="auto"/>
            </w:tcBorders>
            <w:shd w:val="clear" w:color="auto" w:fill="auto"/>
            <w:noWrap/>
            <w:vAlign w:val="bottom"/>
            <w:hideMark/>
          </w:tcPr>
          <w:p w14:paraId="222E4BC4" w14:textId="77777777" w:rsidR="002C1A28" w:rsidRPr="002C1A28" w:rsidRDefault="002C1A28" w:rsidP="002C1A28">
            <w:pPr>
              <w:jc w:val="center"/>
              <w:rPr>
                <w:rFonts w:cs="Arial"/>
                <w:color w:val="000000"/>
                <w:lang w:val="de-DE"/>
              </w:rPr>
            </w:pPr>
            <w:r w:rsidRPr="002C1A28">
              <w:rPr>
                <w:rFonts w:cs="Arial"/>
                <w:color w:val="000000"/>
                <w:lang w:val="de-DE"/>
              </w:rPr>
              <w:t>€ 20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51D5772" w14:textId="77777777" w:rsidR="002C1A28" w:rsidRPr="002C1A28" w:rsidRDefault="002C1A28" w:rsidP="002C1A28">
            <w:pPr>
              <w:jc w:val="center"/>
              <w:rPr>
                <w:rFonts w:cs="Arial"/>
                <w:color w:val="000000"/>
                <w:lang w:val="de-DE"/>
              </w:rPr>
            </w:pPr>
            <w:r w:rsidRPr="002C1A28">
              <w:rPr>
                <w:rFonts w:cs="Arial"/>
                <w:color w:val="000000"/>
                <w:lang w:val="de-DE"/>
              </w:rPr>
              <w:t>€ 20</w:t>
            </w:r>
          </w:p>
        </w:tc>
      </w:tr>
      <w:tr w:rsidR="002C1A28" w:rsidRPr="002C1A28" w14:paraId="7AB12E21" w14:textId="77777777" w:rsidTr="004419A0">
        <w:trPr>
          <w:trHeight w:val="300"/>
        </w:trPr>
        <w:tc>
          <w:tcPr>
            <w:tcW w:w="5441" w:type="dxa"/>
            <w:tcBorders>
              <w:top w:val="nil"/>
              <w:left w:val="single" w:sz="4" w:space="0" w:color="auto"/>
              <w:bottom w:val="single" w:sz="4" w:space="0" w:color="auto"/>
              <w:right w:val="single" w:sz="4" w:space="0" w:color="auto"/>
            </w:tcBorders>
            <w:shd w:val="clear" w:color="auto" w:fill="B8CCE4" w:themeFill="accent1" w:themeFillTint="66"/>
            <w:hideMark/>
          </w:tcPr>
          <w:p w14:paraId="6126FE12" w14:textId="77777777" w:rsidR="002C1A28" w:rsidRPr="002C1A28" w:rsidRDefault="002C1A28" w:rsidP="002C1A28">
            <w:pPr>
              <w:rPr>
                <w:rFonts w:cs="Arial"/>
                <w:b/>
                <w:bCs/>
                <w:color w:val="000000"/>
                <w:lang w:val="de-DE"/>
              </w:rPr>
            </w:pPr>
            <w:r w:rsidRPr="002C1A28">
              <w:rPr>
                <w:rFonts w:cs="Arial"/>
                <w:b/>
                <w:bCs/>
                <w:color w:val="000000"/>
                <w:lang w:val="de-DE"/>
              </w:rPr>
              <w:t>Personenbeförderungsgewerbe</w:t>
            </w:r>
          </w:p>
        </w:tc>
        <w:tc>
          <w:tcPr>
            <w:tcW w:w="1505" w:type="dxa"/>
            <w:tcBorders>
              <w:top w:val="nil"/>
              <w:left w:val="nil"/>
              <w:bottom w:val="single" w:sz="4" w:space="0" w:color="auto"/>
              <w:right w:val="single" w:sz="4" w:space="0" w:color="auto"/>
            </w:tcBorders>
            <w:shd w:val="clear" w:color="auto" w:fill="B8CCE4" w:themeFill="accent1" w:themeFillTint="66"/>
            <w:noWrap/>
            <w:vAlign w:val="bottom"/>
            <w:hideMark/>
          </w:tcPr>
          <w:p w14:paraId="2FEDE39D" w14:textId="275C3C0A" w:rsidR="002C1A28" w:rsidRPr="002C1A28" w:rsidRDefault="002C1A28" w:rsidP="002C1A28">
            <w:pPr>
              <w:jc w:val="center"/>
              <w:rPr>
                <w:rFonts w:cs="Arial"/>
                <w:b/>
                <w:bCs/>
                <w:color w:val="000000"/>
                <w:lang w:val="de-DE"/>
              </w:rPr>
            </w:pPr>
          </w:p>
        </w:tc>
        <w:tc>
          <w:tcPr>
            <w:tcW w:w="1418" w:type="dxa"/>
            <w:tcBorders>
              <w:top w:val="nil"/>
              <w:left w:val="nil"/>
              <w:bottom w:val="single" w:sz="4" w:space="0" w:color="auto"/>
              <w:right w:val="single" w:sz="4" w:space="0" w:color="auto"/>
            </w:tcBorders>
            <w:shd w:val="clear" w:color="auto" w:fill="B8CCE4" w:themeFill="accent1" w:themeFillTint="66"/>
            <w:noWrap/>
            <w:vAlign w:val="bottom"/>
            <w:hideMark/>
          </w:tcPr>
          <w:p w14:paraId="5441C72A" w14:textId="18781883" w:rsidR="002C1A28" w:rsidRPr="002C1A28" w:rsidRDefault="002C1A28" w:rsidP="002C1A28">
            <w:pPr>
              <w:jc w:val="center"/>
              <w:rPr>
                <w:rFonts w:cs="Arial"/>
                <w:color w:val="000000"/>
                <w:lang w:val="de-DE"/>
              </w:rPr>
            </w:pPr>
          </w:p>
        </w:tc>
        <w:tc>
          <w:tcPr>
            <w:tcW w:w="1134" w:type="dxa"/>
            <w:gridSpan w:val="2"/>
            <w:tcBorders>
              <w:top w:val="nil"/>
              <w:left w:val="nil"/>
              <w:bottom w:val="single" w:sz="4" w:space="0" w:color="auto"/>
              <w:right w:val="single" w:sz="4" w:space="0" w:color="auto"/>
            </w:tcBorders>
            <w:shd w:val="clear" w:color="auto" w:fill="B8CCE4" w:themeFill="accent1" w:themeFillTint="66"/>
            <w:noWrap/>
            <w:vAlign w:val="bottom"/>
            <w:hideMark/>
          </w:tcPr>
          <w:p w14:paraId="7A827AE2" w14:textId="52511B00" w:rsidR="002C1A28" w:rsidRPr="002C1A28" w:rsidRDefault="002C1A28" w:rsidP="002C1A28">
            <w:pPr>
              <w:jc w:val="center"/>
              <w:rPr>
                <w:rFonts w:cs="Arial"/>
                <w:color w:val="000000"/>
                <w:lang w:val="de-DE"/>
              </w:rPr>
            </w:pPr>
          </w:p>
        </w:tc>
      </w:tr>
      <w:tr w:rsidR="002C1A28" w:rsidRPr="002C1A28" w14:paraId="0121C9C4" w14:textId="77777777" w:rsidTr="00C65B9B">
        <w:trPr>
          <w:trHeight w:val="300"/>
        </w:trPr>
        <w:tc>
          <w:tcPr>
            <w:tcW w:w="5441" w:type="dxa"/>
            <w:tcBorders>
              <w:top w:val="nil"/>
              <w:left w:val="single" w:sz="4" w:space="0" w:color="auto"/>
              <w:bottom w:val="single" w:sz="4" w:space="0" w:color="auto"/>
              <w:right w:val="single" w:sz="4" w:space="0" w:color="auto"/>
            </w:tcBorders>
            <w:shd w:val="clear" w:color="auto" w:fill="auto"/>
            <w:noWrap/>
            <w:vAlign w:val="bottom"/>
            <w:hideMark/>
          </w:tcPr>
          <w:p w14:paraId="7A4395E8" w14:textId="77777777" w:rsidR="002C1A28" w:rsidRPr="002C1A28" w:rsidRDefault="002C1A28" w:rsidP="002C1A28">
            <w:pPr>
              <w:rPr>
                <w:rFonts w:cs="Arial"/>
                <w:color w:val="000000"/>
                <w:lang w:val="de-DE"/>
              </w:rPr>
            </w:pPr>
            <w:r w:rsidRPr="002C1A28">
              <w:rPr>
                <w:rFonts w:cs="Arial"/>
                <w:color w:val="000000"/>
                <w:lang w:val="de-DE"/>
              </w:rPr>
              <w:t>Dienstnehmer</w:t>
            </w:r>
          </w:p>
        </w:tc>
        <w:tc>
          <w:tcPr>
            <w:tcW w:w="1505" w:type="dxa"/>
            <w:tcBorders>
              <w:top w:val="nil"/>
              <w:left w:val="nil"/>
              <w:bottom w:val="single" w:sz="4" w:space="0" w:color="auto"/>
              <w:right w:val="single" w:sz="4" w:space="0" w:color="auto"/>
            </w:tcBorders>
            <w:shd w:val="clear" w:color="auto" w:fill="auto"/>
            <w:noWrap/>
            <w:vAlign w:val="bottom"/>
            <w:hideMark/>
          </w:tcPr>
          <w:p w14:paraId="0DDAD11B" w14:textId="77777777" w:rsidR="002C1A28" w:rsidRPr="002C1A28" w:rsidRDefault="002C1A28" w:rsidP="002C1A28">
            <w:pPr>
              <w:jc w:val="center"/>
              <w:rPr>
                <w:rFonts w:cs="Arial"/>
                <w:b/>
                <w:bCs/>
                <w:color w:val="000000"/>
                <w:lang w:val="de-DE"/>
              </w:rPr>
            </w:pPr>
            <w:r w:rsidRPr="002C1A28">
              <w:rPr>
                <w:rFonts w:cs="Arial"/>
                <w:b/>
                <w:bCs/>
                <w:color w:val="000000"/>
                <w:lang w:val="de-DE"/>
              </w:rPr>
              <w:t>€ 70</w:t>
            </w:r>
          </w:p>
        </w:tc>
        <w:tc>
          <w:tcPr>
            <w:tcW w:w="1418" w:type="dxa"/>
            <w:tcBorders>
              <w:top w:val="nil"/>
              <w:left w:val="nil"/>
              <w:bottom w:val="single" w:sz="4" w:space="0" w:color="auto"/>
              <w:right w:val="single" w:sz="4" w:space="0" w:color="auto"/>
            </w:tcBorders>
            <w:shd w:val="clear" w:color="auto" w:fill="auto"/>
            <w:noWrap/>
            <w:vAlign w:val="bottom"/>
            <w:hideMark/>
          </w:tcPr>
          <w:p w14:paraId="1E94BAF9" w14:textId="77777777" w:rsidR="002C1A28" w:rsidRPr="002C1A28" w:rsidRDefault="002C1A28" w:rsidP="002C1A28">
            <w:pPr>
              <w:jc w:val="center"/>
              <w:rPr>
                <w:rFonts w:cs="Arial"/>
                <w:color w:val="000000"/>
                <w:lang w:val="de-DE"/>
              </w:rPr>
            </w:pPr>
            <w:r w:rsidRPr="002C1A28">
              <w:rPr>
                <w:rFonts w:cs="Arial"/>
                <w:color w:val="000000"/>
                <w:lang w:val="de-DE"/>
              </w:rPr>
              <w:t>€ 80</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AD5A4D8" w14:textId="77777777" w:rsidR="002C1A28" w:rsidRPr="002C1A28" w:rsidRDefault="002C1A28" w:rsidP="002C1A28">
            <w:pPr>
              <w:jc w:val="center"/>
              <w:rPr>
                <w:rFonts w:cs="Arial"/>
                <w:color w:val="000000"/>
                <w:lang w:val="de-DE"/>
              </w:rPr>
            </w:pPr>
            <w:r w:rsidRPr="002C1A28">
              <w:rPr>
                <w:rFonts w:cs="Arial"/>
                <w:color w:val="000000"/>
                <w:lang w:val="de-DE"/>
              </w:rPr>
              <w:t>€ 90</w:t>
            </w:r>
          </w:p>
        </w:tc>
      </w:tr>
    </w:tbl>
    <w:p w14:paraId="133DE8A0" w14:textId="38CC3542" w:rsidR="00727782" w:rsidRDefault="00727782" w:rsidP="00BB0ECC">
      <w:pPr>
        <w:jc w:val="both"/>
        <w:rPr>
          <w:lang w:val="de-DE"/>
        </w:rPr>
      </w:pPr>
      <w:r w:rsidRPr="00EA1B09">
        <w:rPr>
          <w:b/>
          <w:bCs/>
          <w:u w:val="single"/>
          <w:shd w:val="clear" w:color="auto" w:fill="B8CCE4" w:themeFill="accent1" w:themeFillTint="66"/>
        </w:rPr>
        <w:t>Hinweis</w:t>
      </w:r>
      <w:r w:rsidRPr="00EA1B09">
        <w:rPr>
          <w:shd w:val="clear" w:color="auto" w:fill="B8CCE4" w:themeFill="accent1" w:themeFillTint="66"/>
        </w:rPr>
        <w:t>: Trinkgelder sind steuerfrei, wenn sie in ortsüblicher Höhe und ohne Rechtsanspruch gewährt werden. Die Steuerfreiheit besteht auch, wenn Trinkgelder über Zahlungen per Karte weitergegeben werden</w:t>
      </w:r>
      <w:r w:rsidRPr="00727782">
        <w:t>.</w:t>
      </w:r>
    </w:p>
    <w:p w14:paraId="73E07CF1" w14:textId="77777777" w:rsidR="00D10836" w:rsidRDefault="00D10836" w:rsidP="00F1173A">
      <w:pPr>
        <w:rPr>
          <w:lang w:val="de-DE"/>
        </w:rPr>
      </w:pPr>
    </w:p>
    <w:p w14:paraId="67E53301" w14:textId="77777777" w:rsidR="00EC4B17" w:rsidRPr="00361718" w:rsidRDefault="00EC4B17" w:rsidP="00EC4B17">
      <w:pPr>
        <w:pStyle w:val="berschrift2"/>
      </w:pPr>
      <w:r w:rsidRPr="00361718">
        <w:t xml:space="preserve">Hitzeschutzverordnung </w:t>
      </w:r>
    </w:p>
    <w:p w14:paraId="5EE29D28" w14:textId="65DBDAEB" w:rsidR="00EC4B17" w:rsidRPr="00361718" w:rsidRDefault="00EC4B17" w:rsidP="00EC4B17">
      <w:pPr>
        <w:spacing w:line="276" w:lineRule="auto"/>
        <w:jc w:val="both"/>
        <w:rPr>
          <w:rFonts w:cs="Arial"/>
        </w:rPr>
      </w:pPr>
      <w:r w:rsidRPr="00361718">
        <w:rPr>
          <w:rFonts w:cs="Arial"/>
        </w:rPr>
        <w:t xml:space="preserve">Als Reaktion auf den Klimawandel und die vermutlich heißeren Sommertage hat die Arbeitsministerin die </w:t>
      </w:r>
      <w:r>
        <w:rPr>
          <w:rFonts w:cs="Arial"/>
        </w:rPr>
        <w:t xml:space="preserve">am </w:t>
      </w:r>
      <w:r w:rsidRPr="00361718">
        <w:rPr>
          <w:rFonts w:cs="Arial"/>
        </w:rPr>
        <w:t xml:space="preserve">1.1.2026 in Kraft getretene Hitzeschutzverordnung erlassen. </w:t>
      </w:r>
    </w:p>
    <w:p w14:paraId="36B3E1AC" w14:textId="77777777" w:rsidR="00EC4B17" w:rsidRDefault="00EC4B17" w:rsidP="00EC4B17">
      <w:pPr>
        <w:spacing w:line="276" w:lineRule="auto"/>
        <w:jc w:val="both"/>
        <w:rPr>
          <w:rFonts w:cs="Arial"/>
        </w:rPr>
      </w:pPr>
      <w:r w:rsidRPr="00361718">
        <w:rPr>
          <w:rFonts w:cs="Arial"/>
        </w:rPr>
        <w:t>Die Hitzeschutzverordnung schützt Arbeitnehmer, die im Freien arbeiten</w:t>
      </w:r>
      <w:r>
        <w:rPr>
          <w:rFonts w:cs="Arial"/>
        </w:rPr>
        <w:t>. B</w:t>
      </w:r>
      <w:r w:rsidRPr="00361718">
        <w:rPr>
          <w:rFonts w:cs="Arial"/>
        </w:rPr>
        <w:t>etroffen sind z</w:t>
      </w:r>
      <w:r>
        <w:rPr>
          <w:rFonts w:cs="Arial"/>
        </w:rPr>
        <w:t>.</w:t>
      </w:r>
      <w:r w:rsidRPr="00361718">
        <w:rPr>
          <w:rFonts w:cs="Arial"/>
        </w:rPr>
        <w:t>B</w:t>
      </w:r>
      <w:r>
        <w:rPr>
          <w:rFonts w:cs="Arial"/>
        </w:rPr>
        <w:t>.</w:t>
      </w:r>
      <w:r w:rsidRPr="00361718">
        <w:rPr>
          <w:rFonts w:cs="Arial"/>
        </w:rPr>
        <w:t xml:space="preserve"> folgende Branchen: </w:t>
      </w:r>
      <w:r w:rsidRPr="00361718">
        <w:rPr>
          <w:rFonts w:cs="Arial"/>
          <w:b/>
          <w:bCs/>
        </w:rPr>
        <w:t>Bau, Zustelldienste, Wachdienste, Abfallbehandlung, Festival-Betriebe, Gärtnereien.</w:t>
      </w:r>
      <w:r w:rsidRPr="00361718">
        <w:rPr>
          <w:rFonts w:cs="Arial"/>
        </w:rPr>
        <w:t xml:space="preserve"> </w:t>
      </w:r>
      <w:r>
        <w:rPr>
          <w:rFonts w:cs="Arial"/>
        </w:rPr>
        <w:t>Die</w:t>
      </w:r>
      <w:r w:rsidRPr="00361718">
        <w:rPr>
          <w:rFonts w:cs="Arial"/>
        </w:rPr>
        <w:t xml:space="preserve"> Arbeitgeber haben für </w:t>
      </w:r>
      <w:r>
        <w:rPr>
          <w:rFonts w:cs="Arial"/>
        </w:rPr>
        <w:t>ihre</w:t>
      </w:r>
      <w:r w:rsidRPr="00361718">
        <w:rPr>
          <w:rFonts w:cs="Arial"/>
        </w:rPr>
        <w:t xml:space="preserve"> Arbeitnehmer die Gefahren, die durch UV-Strahlung und Hitze entstehen, zu evaluieren und, sofern Maßnahmen notwendig sind, diese umzusetzen. Insbesondere wenn die </w:t>
      </w:r>
      <w:proofErr w:type="spellStart"/>
      <w:r w:rsidRPr="00361718">
        <w:rPr>
          <w:rFonts w:cs="Arial"/>
          <w:b/>
          <w:bCs/>
        </w:rPr>
        <w:t>Geosphere</w:t>
      </w:r>
      <w:proofErr w:type="spellEnd"/>
      <w:r w:rsidRPr="00361718">
        <w:rPr>
          <w:rFonts w:cs="Arial"/>
          <w:b/>
          <w:bCs/>
        </w:rPr>
        <w:t xml:space="preserve"> Austria eine Hitzewarnung mindestens der Stufe 2 (Vorsicht, gelb)</w:t>
      </w:r>
      <w:r w:rsidRPr="00361718">
        <w:rPr>
          <w:rFonts w:cs="Arial"/>
        </w:rPr>
        <w:t xml:space="preserve"> ausweist, </w:t>
      </w:r>
      <w:r>
        <w:rPr>
          <w:rFonts w:cs="Arial"/>
        </w:rPr>
        <w:t>müssen</w:t>
      </w:r>
      <w:r w:rsidRPr="00361718">
        <w:rPr>
          <w:rFonts w:cs="Arial"/>
        </w:rPr>
        <w:t xml:space="preserve"> Arbeitgeber entsprechende Maßnahmen zum Hitze- und UV-Schutz umsetzen. In der Verordnung sind beispielhaft folgende Maßnahmen angeführt:</w:t>
      </w:r>
    </w:p>
    <w:p w14:paraId="2DE54AAB" w14:textId="77777777" w:rsidR="00EC4B17" w:rsidRPr="00361718" w:rsidRDefault="00EC4B17" w:rsidP="00EC4B17">
      <w:pPr>
        <w:pStyle w:val="AufzhlungenKlifonichtfett"/>
      </w:pPr>
      <w:r w:rsidRPr="00361718">
        <w:t>Vorverlegung des Arbeitsbeginns, Verlängerung der Pausen,</w:t>
      </w:r>
    </w:p>
    <w:p w14:paraId="506E4B07" w14:textId="77777777" w:rsidR="00EC4B17" w:rsidRPr="00361718" w:rsidRDefault="00EC4B17" w:rsidP="00EC4B17">
      <w:pPr>
        <w:pStyle w:val="AufzhlungenKlifonichtfett"/>
      </w:pPr>
      <w:r w:rsidRPr="00361718">
        <w:t xml:space="preserve">Beschattung der Arbeitsplätze, Wasservernebelung, Duschgelegenheiten, </w:t>
      </w:r>
    </w:p>
    <w:p w14:paraId="32411B45" w14:textId="77777777" w:rsidR="00EC4B17" w:rsidRPr="00361718" w:rsidRDefault="00EC4B17" w:rsidP="00EC4B17">
      <w:pPr>
        <w:pStyle w:val="AufzhlungenKlifonichtfett"/>
      </w:pPr>
      <w:r w:rsidRPr="00361718">
        <w:t>Verschiebung schwerer körperlicher Tätigkeiten auf kühlere Tageszeiten,</w:t>
      </w:r>
    </w:p>
    <w:p w14:paraId="06BFE3BC" w14:textId="77777777" w:rsidR="00EC4B17" w:rsidRPr="00361718" w:rsidRDefault="00EC4B17" w:rsidP="00EC4B17">
      <w:pPr>
        <w:pStyle w:val="AufzhlungenKlifonichtfett"/>
      </w:pPr>
      <w:r w:rsidRPr="00361718">
        <w:t>Schutzkleidung, Kopfschutz, leichte Kleidung, Trinkwasser, Sonnenschutzcreme.</w:t>
      </w:r>
    </w:p>
    <w:p w14:paraId="612F3B24" w14:textId="3E6A672D" w:rsidR="00EC4B17" w:rsidRPr="00361718" w:rsidRDefault="00EC4B17" w:rsidP="00EC4B17">
      <w:pPr>
        <w:shd w:val="clear" w:color="auto" w:fill="FABF8F" w:themeFill="accent6" w:themeFillTint="99"/>
        <w:spacing w:line="276" w:lineRule="auto"/>
        <w:ind w:left="284"/>
        <w:jc w:val="both"/>
        <w:rPr>
          <w:rFonts w:cs="Arial"/>
        </w:rPr>
      </w:pPr>
      <w:r>
        <w:rPr>
          <w:rFonts w:cs="Arial"/>
          <w:b/>
          <w:bCs/>
          <w:u w:val="single"/>
        </w:rPr>
        <w:t>TIPP:</w:t>
      </w:r>
      <w:r w:rsidRPr="00B26ECE">
        <w:rPr>
          <w:rFonts w:cs="Arial"/>
        </w:rPr>
        <w:t xml:space="preserve"> </w:t>
      </w:r>
      <w:r w:rsidR="000B58FA">
        <w:rPr>
          <w:rFonts w:cs="Arial"/>
        </w:rPr>
        <w:t xml:space="preserve">Die Beschreibung dieser </w:t>
      </w:r>
      <w:r w:rsidRPr="00B26ECE">
        <w:rPr>
          <w:rFonts w:cs="Arial"/>
        </w:rPr>
        <w:t xml:space="preserve">Maßnahmen </w:t>
      </w:r>
      <w:r w:rsidR="00EF661E">
        <w:rPr>
          <w:rFonts w:cs="Arial"/>
        </w:rPr>
        <w:t>muss</w:t>
      </w:r>
      <w:r w:rsidRPr="00B26ECE">
        <w:rPr>
          <w:rFonts w:cs="Arial"/>
        </w:rPr>
        <w:t xml:space="preserve"> in Arbeitsstätten, auf Baustellen und auswärtige</w:t>
      </w:r>
      <w:r w:rsidR="000B58FA">
        <w:rPr>
          <w:rFonts w:cs="Arial"/>
        </w:rPr>
        <w:t>n</w:t>
      </w:r>
      <w:r w:rsidRPr="00B26ECE">
        <w:rPr>
          <w:rFonts w:cs="Arial"/>
        </w:rPr>
        <w:t xml:space="preserve"> Arbeitsstellen sowohl für alle Arbeitnehmer als auch für das Arbeitsinspektorat elektronisch oder in Papierform einsehbar sein.</w:t>
      </w:r>
    </w:p>
    <w:p w14:paraId="03CCEE78" w14:textId="77777777" w:rsidR="00EC4B17" w:rsidRDefault="00EC4B17" w:rsidP="00F1173A"/>
    <w:p w14:paraId="61902BB2" w14:textId="77777777" w:rsidR="00EC4B17" w:rsidRPr="00EC4B17" w:rsidRDefault="00EC4B17" w:rsidP="00F1173A"/>
    <w:p w14:paraId="5DFB272C" w14:textId="29B26CAE" w:rsidR="00163255" w:rsidRPr="00CE55D5" w:rsidRDefault="00163255" w:rsidP="00BB6D2E">
      <w:pPr>
        <w:pStyle w:val="berschrift1"/>
        <w:rPr>
          <w:bCs/>
          <w:color w:val="004077"/>
          <w:sz w:val="22"/>
          <w:szCs w:val="22"/>
        </w:rPr>
      </w:pPr>
      <w:bookmarkStart w:id="8" w:name="_Toc220955344"/>
      <w:r w:rsidRPr="00CE55D5">
        <w:rPr>
          <w:bCs/>
          <w:color w:val="004077"/>
          <w:sz w:val="22"/>
          <w:szCs w:val="22"/>
        </w:rPr>
        <w:t>MIETZINSANPASSUNG – WAS IST BIS 1.4.2026 ZU BEACHTEN</w:t>
      </w:r>
      <w:bookmarkEnd w:id="8"/>
    </w:p>
    <w:p w14:paraId="071AA3DF" w14:textId="13050237" w:rsidR="00163255" w:rsidRDefault="00163255" w:rsidP="00720E22">
      <w:pPr>
        <w:spacing w:line="276" w:lineRule="auto"/>
        <w:jc w:val="both"/>
        <w:rPr>
          <w:rFonts w:cs="Arial"/>
          <w:lang w:val="de-DE"/>
        </w:rPr>
      </w:pPr>
      <w:r>
        <w:rPr>
          <w:rFonts w:cs="Arial"/>
          <w:lang w:val="de-DE"/>
        </w:rPr>
        <w:t xml:space="preserve">In unserer letzten Ausgabe haben wir bereits ausführlich über die mit 1.1.2026 in Kraft getretenen mietrechtlichen Änderungen, insbesondere das Mieten-Wertsicherungsgesetz, berichtet. Da sich dieses Thema als besonders komplex erwiesen hat, möchten wir Ihnen </w:t>
      </w:r>
      <w:r w:rsidR="00EA1B09">
        <w:rPr>
          <w:rFonts w:cs="Arial"/>
          <w:lang w:val="de-DE"/>
        </w:rPr>
        <w:t>nachstehend</w:t>
      </w:r>
      <w:r>
        <w:rPr>
          <w:rFonts w:cs="Arial"/>
          <w:lang w:val="de-DE"/>
        </w:rPr>
        <w:t xml:space="preserve"> eine kurze Übersicht über die Neuerungen geben sowie auf gewisse Besonderheiten eingehen. </w:t>
      </w:r>
    </w:p>
    <w:p w14:paraId="2D35FAE1" w14:textId="77777777" w:rsidR="00720E22" w:rsidRDefault="00720E22" w:rsidP="00720E22">
      <w:pPr>
        <w:spacing w:line="276" w:lineRule="auto"/>
        <w:jc w:val="both"/>
        <w:rPr>
          <w:rFonts w:cs="Arial"/>
          <w:lang w:val="de-DE"/>
        </w:rPr>
      </w:pPr>
    </w:p>
    <w:p w14:paraId="240D502B" w14:textId="3B52F193" w:rsidR="00163255" w:rsidRPr="005047B2" w:rsidRDefault="00163255" w:rsidP="00F1173A">
      <w:pPr>
        <w:pStyle w:val="berschrift2"/>
        <w:rPr>
          <w:lang w:val="de-DE"/>
        </w:rPr>
      </w:pPr>
      <w:r w:rsidRPr="005047B2">
        <w:rPr>
          <w:lang w:val="de-DE"/>
        </w:rPr>
        <w:t>Anwendungsbereich</w:t>
      </w:r>
    </w:p>
    <w:p w14:paraId="2DC95744" w14:textId="2F5B1CFC" w:rsidR="00163255" w:rsidRPr="00930A98" w:rsidRDefault="00163255" w:rsidP="00ED33AB">
      <w:pPr>
        <w:pStyle w:val="AufzhlungenKlifonichtfett"/>
        <w:rPr>
          <w:lang w:val="de-DE"/>
        </w:rPr>
      </w:pPr>
      <w:r w:rsidRPr="00ED33AB">
        <w:t>Das</w:t>
      </w:r>
      <w:r w:rsidRPr="00930A98">
        <w:rPr>
          <w:lang w:val="de-DE"/>
        </w:rPr>
        <w:t xml:space="preserve"> Mieten-Wertsicherungsgesetz</w:t>
      </w:r>
      <w:r>
        <w:rPr>
          <w:lang w:val="de-DE"/>
        </w:rPr>
        <w:t xml:space="preserve"> (</w:t>
      </w:r>
      <w:proofErr w:type="spellStart"/>
      <w:r>
        <w:rPr>
          <w:lang w:val="de-DE"/>
        </w:rPr>
        <w:t>MieWeG</w:t>
      </w:r>
      <w:proofErr w:type="spellEnd"/>
      <w:r>
        <w:rPr>
          <w:lang w:val="de-DE"/>
        </w:rPr>
        <w:t>)</w:t>
      </w:r>
      <w:r w:rsidRPr="00930A98">
        <w:rPr>
          <w:lang w:val="de-DE"/>
        </w:rPr>
        <w:t xml:space="preserve"> gilt für alle</w:t>
      </w:r>
      <w:r w:rsidRPr="00930A98">
        <w:rPr>
          <w:b/>
          <w:lang w:val="de-DE"/>
        </w:rPr>
        <w:t xml:space="preserve"> Wohnungs</w:t>
      </w:r>
      <w:r w:rsidRPr="00930A98">
        <w:rPr>
          <w:lang w:val="de-DE"/>
        </w:rPr>
        <w:t>mietverträge</w:t>
      </w:r>
      <w:r w:rsidRPr="00930A98">
        <w:rPr>
          <w:b/>
          <w:lang w:val="de-DE"/>
        </w:rPr>
        <w:t>, die dem Mietrechtsgesetz</w:t>
      </w:r>
      <w:r w:rsidRPr="00930A98">
        <w:rPr>
          <w:lang w:val="de-DE"/>
        </w:rPr>
        <w:t xml:space="preserve"> (MRG) unabhängig vom Ausmaß der Anwendbarkeit des MRG (Teil-/Vollanwendungsbereich), </w:t>
      </w:r>
      <w:r w:rsidRPr="00930A98">
        <w:rPr>
          <w:b/>
          <w:lang w:val="de-DE"/>
        </w:rPr>
        <w:t>unterliegen</w:t>
      </w:r>
      <w:r w:rsidRPr="00930A98">
        <w:rPr>
          <w:lang w:val="de-DE"/>
        </w:rPr>
        <w:t xml:space="preserve">. </w:t>
      </w:r>
    </w:p>
    <w:p w14:paraId="202596C9" w14:textId="53894916" w:rsidR="00163255" w:rsidRPr="00930A98" w:rsidRDefault="00163255" w:rsidP="00ED33AB">
      <w:pPr>
        <w:pStyle w:val="AufzhlungenKlifonichtfett"/>
        <w:rPr>
          <w:lang w:val="de-DE"/>
        </w:rPr>
      </w:pPr>
      <w:r w:rsidRPr="00643131">
        <w:rPr>
          <w:shd w:val="clear" w:color="auto" w:fill="FABF8F" w:themeFill="accent6" w:themeFillTint="99"/>
          <w:lang w:val="de-DE"/>
        </w:rPr>
        <w:t xml:space="preserve">Es </w:t>
      </w:r>
      <w:r w:rsidRPr="00643131">
        <w:rPr>
          <w:b/>
          <w:shd w:val="clear" w:color="auto" w:fill="FABF8F" w:themeFill="accent6" w:themeFillTint="99"/>
          <w:lang w:val="de-DE"/>
        </w:rPr>
        <w:t>gilt</w:t>
      </w:r>
      <w:r w:rsidRPr="00643131">
        <w:rPr>
          <w:shd w:val="clear" w:color="auto" w:fill="FABF8F" w:themeFill="accent6" w:themeFillTint="99"/>
          <w:lang w:val="de-DE"/>
        </w:rPr>
        <w:t xml:space="preserve"> </w:t>
      </w:r>
      <w:r w:rsidR="008A0B47">
        <w:rPr>
          <w:b/>
          <w:shd w:val="clear" w:color="auto" w:fill="FABF8F" w:themeFill="accent6" w:themeFillTint="99"/>
          <w:lang w:val="de-DE"/>
        </w:rPr>
        <w:t>NICHT</w:t>
      </w:r>
      <w:r w:rsidRPr="00643131">
        <w:rPr>
          <w:b/>
          <w:shd w:val="clear" w:color="auto" w:fill="FABF8F" w:themeFill="accent6" w:themeFillTint="99"/>
          <w:lang w:val="de-DE"/>
        </w:rPr>
        <w:t xml:space="preserve"> </w:t>
      </w:r>
      <w:r w:rsidRPr="00643131">
        <w:rPr>
          <w:shd w:val="clear" w:color="auto" w:fill="FABF8F" w:themeFill="accent6" w:themeFillTint="99"/>
          <w:lang w:val="de-DE"/>
        </w:rPr>
        <w:t xml:space="preserve">für </w:t>
      </w:r>
      <w:r w:rsidRPr="00643131">
        <w:rPr>
          <w:b/>
          <w:shd w:val="clear" w:color="auto" w:fill="FABF8F" w:themeFill="accent6" w:themeFillTint="99"/>
          <w:lang w:val="de-DE"/>
        </w:rPr>
        <w:t xml:space="preserve">Geschäftsraummieten </w:t>
      </w:r>
      <w:r w:rsidRPr="00643131">
        <w:rPr>
          <w:shd w:val="clear" w:color="auto" w:fill="FABF8F" w:themeFill="accent6" w:themeFillTint="99"/>
          <w:lang w:val="de-DE"/>
        </w:rPr>
        <w:t>(egal ob gewerblich, freiberuflich oder sonstig genutzt</w:t>
      </w:r>
      <w:r w:rsidRPr="00EA1B09">
        <w:rPr>
          <w:shd w:val="clear" w:color="auto" w:fill="FABF8F" w:themeFill="accent6" w:themeFillTint="99"/>
          <w:lang w:val="de-DE"/>
        </w:rPr>
        <w:t>)</w:t>
      </w:r>
      <w:r w:rsidRPr="00930A98">
        <w:rPr>
          <w:b/>
          <w:lang w:val="de-DE"/>
        </w:rPr>
        <w:t xml:space="preserve"> oder nicht dem MRG unterliegenden Räume</w:t>
      </w:r>
      <w:r w:rsidRPr="00930A98">
        <w:rPr>
          <w:lang w:val="de-DE"/>
        </w:rPr>
        <w:t xml:space="preserve">. Neu abgeschlossene Mietverträge über Raummieten (Geschäftsräume, Wohnungen </w:t>
      </w:r>
      <w:proofErr w:type="spellStart"/>
      <w:r w:rsidRPr="00930A98">
        <w:rPr>
          <w:lang w:val="de-DE"/>
        </w:rPr>
        <w:t>u</w:t>
      </w:r>
      <w:r>
        <w:rPr>
          <w:lang w:val="de-DE"/>
        </w:rPr>
        <w:t>.</w:t>
      </w:r>
      <w:r w:rsidRPr="00930A98">
        <w:rPr>
          <w:lang w:val="de-DE"/>
        </w:rPr>
        <w:t>ä</w:t>
      </w:r>
      <w:r>
        <w:rPr>
          <w:lang w:val="de-DE"/>
        </w:rPr>
        <w:t>.</w:t>
      </w:r>
      <w:proofErr w:type="spellEnd"/>
      <w:r w:rsidR="00904339">
        <w:rPr>
          <w:lang w:val="de-DE"/>
        </w:rPr>
        <w:t>)</w:t>
      </w:r>
      <w:r w:rsidRPr="00930A98">
        <w:rPr>
          <w:lang w:val="de-DE"/>
        </w:rPr>
        <w:t xml:space="preserve"> können sich </w:t>
      </w:r>
      <w:r w:rsidRPr="00ED33AB">
        <w:t>jedoch</w:t>
      </w:r>
      <w:r w:rsidRPr="00930A98">
        <w:rPr>
          <w:lang w:val="de-DE"/>
        </w:rPr>
        <w:t xml:space="preserve"> den Valorisierungsregelungen des </w:t>
      </w:r>
      <w:proofErr w:type="spellStart"/>
      <w:r w:rsidRPr="00930A98">
        <w:rPr>
          <w:lang w:val="de-DE"/>
        </w:rPr>
        <w:t>MieWeG</w:t>
      </w:r>
      <w:proofErr w:type="spellEnd"/>
      <w:r w:rsidRPr="00930A98">
        <w:rPr>
          <w:lang w:val="de-DE"/>
        </w:rPr>
        <w:t xml:space="preserve"> </w:t>
      </w:r>
      <w:r w:rsidRPr="00930A98">
        <w:rPr>
          <w:lang w:val="de-DE"/>
        </w:rPr>
        <w:lastRenderedPageBreak/>
        <w:t xml:space="preserve">freiwillig unterwerfen. </w:t>
      </w:r>
    </w:p>
    <w:p w14:paraId="5D1650A5" w14:textId="77777777" w:rsidR="00163255" w:rsidRDefault="00163255" w:rsidP="00ED33AB">
      <w:pPr>
        <w:pStyle w:val="AufzhlungenKlifonichtfett"/>
        <w:rPr>
          <w:lang w:val="de-DE"/>
        </w:rPr>
      </w:pPr>
      <w:r w:rsidRPr="00930A98">
        <w:rPr>
          <w:lang w:val="de-DE"/>
        </w:rPr>
        <w:t xml:space="preserve">Es gilt nur für Mietverträge, in denen eine </w:t>
      </w:r>
      <w:r w:rsidRPr="00930A98">
        <w:rPr>
          <w:b/>
          <w:lang w:val="de-DE"/>
        </w:rPr>
        <w:t>Wertsicherungsvereinbarung</w:t>
      </w:r>
      <w:r w:rsidRPr="00930A98">
        <w:rPr>
          <w:lang w:val="de-DE"/>
        </w:rPr>
        <w:t xml:space="preserve"> getroffen wurde. </w:t>
      </w:r>
    </w:p>
    <w:p w14:paraId="3C20A98D" w14:textId="41C995ED" w:rsidR="00163255" w:rsidRDefault="00163255" w:rsidP="00ED33AB">
      <w:pPr>
        <w:pStyle w:val="AufzhlungenKlifonichtfett"/>
        <w:rPr>
          <w:lang w:val="de-DE"/>
        </w:rPr>
      </w:pPr>
      <w:r w:rsidRPr="00643131">
        <w:rPr>
          <w:b/>
          <w:lang w:val="de-DE"/>
        </w:rPr>
        <w:t>Klarstellung Arbeitszimmer</w:t>
      </w:r>
      <w:r>
        <w:rPr>
          <w:lang w:val="de-DE"/>
        </w:rPr>
        <w:t xml:space="preserve">: Als Wohnungsmietvertrag gelten Haupt- und Untermietverträge über Wohnungen im Voll- und Teilanwendungsbereich des MRG. Folgt man dem Gesetzeswortlaut und den Erläuterungen zum </w:t>
      </w:r>
      <w:proofErr w:type="spellStart"/>
      <w:r>
        <w:rPr>
          <w:lang w:val="de-DE"/>
        </w:rPr>
        <w:t>MieWeG</w:t>
      </w:r>
      <w:proofErr w:type="spellEnd"/>
      <w:r w:rsidR="00EF661E">
        <w:rPr>
          <w:lang w:val="de-DE"/>
        </w:rPr>
        <w:t>,</w:t>
      </w:r>
      <w:r>
        <w:rPr>
          <w:lang w:val="de-DE"/>
        </w:rPr>
        <w:t xml:space="preserve"> gilt dieses auch für Wohnungen</w:t>
      </w:r>
      <w:r w:rsidR="00904339">
        <w:rPr>
          <w:lang w:val="de-DE"/>
        </w:rPr>
        <w:t>,</w:t>
      </w:r>
      <w:r>
        <w:rPr>
          <w:lang w:val="de-DE"/>
        </w:rPr>
        <w:t xml:space="preserve"> in denen ein oder mehrere Zimmer als Arbeitszimmer genutzt werden (und damit geschäftlich), sofern der Mietgegenstand insgesamt als Wohnung im Sinne des MRG gilt. Eine Wohnung gilt der Judikatur nach als ein baulich abgeschlossener Teil eines Gebäudes, der geeignet ist, der Befriedigung des individuellen Wohnbedürfnisses von Menschen zu dienen.</w:t>
      </w:r>
    </w:p>
    <w:p w14:paraId="3D0FB4D6" w14:textId="77777777" w:rsidR="00163255" w:rsidRPr="00665B2D" w:rsidRDefault="00163255" w:rsidP="00720E22">
      <w:pPr>
        <w:pStyle w:val="Listenabsatz"/>
        <w:spacing w:line="276" w:lineRule="auto"/>
        <w:ind w:left="567"/>
        <w:contextualSpacing/>
        <w:jc w:val="both"/>
        <w:rPr>
          <w:rFonts w:cs="Arial"/>
          <w:lang w:val="de-DE"/>
        </w:rPr>
      </w:pPr>
    </w:p>
    <w:p w14:paraId="4C15575F" w14:textId="780A7103" w:rsidR="00163255" w:rsidRPr="00930A98" w:rsidRDefault="00163255" w:rsidP="00F1173A">
      <w:pPr>
        <w:pStyle w:val="berschrift2"/>
        <w:rPr>
          <w:lang w:val="de-DE"/>
        </w:rPr>
      </w:pPr>
      <w:r w:rsidRPr="00930A98">
        <w:rPr>
          <w:lang w:val="de-DE"/>
        </w:rPr>
        <w:t>Beschränkung der Valorisierung</w:t>
      </w:r>
    </w:p>
    <w:p w14:paraId="69C5A67C" w14:textId="4DDA9A3D" w:rsidR="00163255" w:rsidRDefault="00163255" w:rsidP="00720E22">
      <w:pPr>
        <w:spacing w:after="120" w:line="276" w:lineRule="auto"/>
        <w:jc w:val="both"/>
        <w:rPr>
          <w:rFonts w:cs="Arial"/>
          <w:lang w:val="de-DE"/>
        </w:rPr>
      </w:pPr>
      <w:r>
        <w:rPr>
          <w:rFonts w:cs="Arial"/>
          <w:lang w:val="de-DE"/>
        </w:rPr>
        <w:t xml:space="preserve">Die jährlichen Valorisierungen werden durch das </w:t>
      </w:r>
      <w:proofErr w:type="spellStart"/>
      <w:r>
        <w:rPr>
          <w:rFonts w:cs="Arial"/>
          <w:lang w:val="de-DE"/>
        </w:rPr>
        <w:t>MieWeG</w:t>
      </w:r>
      <w:proofErr w:type="spellEnd"/>
      <w:r>
        <w:rPr>
          <w:rFonts w:cs="Arial"/>
          <w:lang w:val="de-DE"/>
        </w:rPr>
        <w:t xml:space="preserve"> sowohl </w:t>
      </w:r>
      <w:r w:rsidRPr="00665B2D">
        <w:rPr>
          <w:rFonts w:cs="Arial"/>
          <w:b/>
          <w:lang w:val="de-DE"/>
        </w:rPr>
        <w:t>zeitlich</w:t>
      </w:r>
      <w:r>
        <w:rPr>
          <w:rFonts w:cs="Arial"/>
          <w:lang w:val="de-DE"/>
        </w:rPr>
        <w:t xml:space="preserve"> als auch </w:t>
      </w:r>
      <w:r w:rsidRPr="00665B2D">
        <w:rPr>
          <w:rFonts w:cs="Arial"/>
          <w:b/>
          <w:lang w:val="de-DE"/>
        </w:rPr>
        <w:t>der Höhe nach beschränkt</w:t>
      </w:r>
      <w:r>
        <w:rPr>
          <w:rFonts w:cs="Arial"/>
          <w:lang w:val="de-DE"/>
        </w:rPr>
        <w:t>. Sämtliche Valorisierungen bei Mietverträgen</w:t>
      </w:r>
      <w:r w:rsidR="00904339">
        <w:rPr>
          <w:rFonts w:cs="Arial"/>
          <w:lang w:val="de-DE"/>
        </w:rPr>
        <w:t>,</w:t>
      </w:r>
      <w:r>
        <w:rPr>
          <w:rFonts w:cs="Arial"/>
          <w:lang w:val="de-DE"/>
        </w:rPr>
        <w:t xml:space="preserve"> die dem </w:t>
      </w:r>
      <w:proofErr w:type="spellStart"/>
      <w:r>
        <w:rPr>
          <w:rFonts w:cs="Arial"/>
          <w:lang w:val="de-DE"/>
        </w:rPr>
        <w:t>MieWeG</w:t>
      </w:r>
      <w:proofErr w:type="spellEnd"/>
      <w:r>
        <w:rPr>
          <w:rFonts w:cs="Arial"/>
          <w:lang w:val="de-DE"/>
        </w:rPr>
        <w:t xml:space="preserve"> unterliegen, dürfen unabhängig von anderslautenden Wertsicherungsklauseln </w:t>
      </w:r>
      <w:r w:rsidR="00EA1B09" w:rsidRPr="00EA1B09">
        <w:rPr>
          <w:rFonts w:cs="Arial"/>
          <w:lang w:val="de-DE"/>
        </w:rPr>
        <w:t>nur noch</w:t>
      </w:r>
      <w:r w:rsidR="00904339" w:rsidRPr="00EA1B09">
        <w:rPr>
          <w:rFonts w:cs="Arial"/>
          <w:lang w:val="de-DE"/>
        </w:rPr>
        <w:t xml:space="preserve"> </w:t>
      </w:r>
      <w:r w:rsidR="00904339">
        <w:rPr>
          <w:rFonts w:cs="Arial"/>
          <w:lang w:val="de-DE"/>
        </w:rPr>
        <w:t>a</w:t>
      </w:r>
      <w:r w:rsidR="00EA1B09">
        <w:rPr>
          <w:rFonts w:cs="Arial"/>
          <w:lang w:val="de-DE"/>
        </w:rPr>
        <w:t>m</w:t>
      </w:r>
      <w:r>
        <w:rPr>
          <w:rFonts w:cs="Arial"/>
          <w:lang w:val="de-DE"/>
        </w:rPr>
        <w:t xml:space="preserve"> 1. April angepasst werden. Dies gilt für alle Mietzinshöhungen</w:t>
      </w:r>
      <w:r w:rsidR="00904339">
        <w:rPr>
          <w:rFonts w:cs="Arial"/>
          <w:lang w:val="de-DE"/>
        </w:rPr>
        <w:t>,</w:t>
      </w:r>
      <w:r>
        <w:rPr>
          <w:rFonts w:cs="Arial"/>
          <w:lang w:val="de-DE"/>
        </w:rPr>
        <w:t xml:space="preserve"> die ab dem 1.1.2026 eintreten oder eingetreten wären. Wird ein Mietvertrag im Jahr 2026 (ab 1.1.2026) neu abgeschlossen, kann eine Erhöhung erst mit 1.4.2027 (auch wenn </w:t>
      </w:r>
      <w:r w:rsidR="00EA1B09">
        <w:rPr>
          <w:rFonts w:cs="Arial"/>
          <w:lang w:val="de-DE"/>
        </w:rPr>
        <w:t xml:space="preserve">er </w:t>
      </w:r>
      <w:r>
        <w:rPr>
          <w:rFonts w:cs="Arial"/>
          <w:lang w:val="de-DE"/>
        </w:rPr>
        <w:t>vor dem 1.4.2026 abgeschlossen wurde) erfolgen, da ein volles Kalenderjahr nach Vertragsabschluss für die erste Erhöhung Voraussetzung ist.</w:t>
      </w:r>
    </w:p>
    <w:p w14:paraId="5E90CE1E" w14:textId="7B42648E" w:rsidR="00163255" w:rsidRDefault="00EA1B09" w:rsidP="00720E22">
      <w:pPr>
        <w:shd w:val="clear" w:color="auto" w:fill="B8CCE4" w:themeFill="accent1" w:themeFillTint="66"/>
        <w:spacing w:after="120" w:line="276" w:lineRule="auto"/>
        <w:jc w:val="both"/>
        <w:rPr>
          <w:rFonts w:cs="Arial"/>
          <w:lang w:val="de-DE"/>
        </w:rPr>
      </w:pPr>
      <w:r>
        <w:rPr>
          <w:rFonts w:cs="Arial"/>
          <w:b/>
          <w:u w:val="single"/>
          <w:lang w:val="de-DE"/>
        </w:rPr>
        <w:t>Hinweis</w:t>
      </w:r>
      <w:r w:rsidR="00163255" w:rsidRPr="001734D3">
        <w:rPr>
          <w:rFonts w:cs="Arial"/>
          <w:b/>
          <w:lang w:val="de-DE"/>
        </w:rPr>
        <w:t>:</w:t>
      </w:r>
      <w:r w:rsidR="00163255">
        <w:rPr>
          <w:rFonts w:cs="Arial"/>
          <w:lang w:val="de-DE"/>
        </w:rPr>
        <w:t xml:space="preserve"> Sämtliche Mietzinserhöhungen mit 1.1.2026</w:t>
      </w:r>
      <w:r>
        <w:rPr>
          <w:rFonts w:cs="Arial"/>
          <w:lang w:val="de-DE"/>
        </w:rPr>
        <w:t>, die auf</w:t>
      </w:r>
      <w:r w:rsidR="0069164E">
        <w:rPr>
          <w:rFonts w:cs="Arial"/>
          <w:lang w:val="de-DE"/>
        </w:rPr>
        <w:t xml:space="preserve"> </w:t>
      </w:r>
      <w:r w:rsidR="00163255">
        <w:rPr>
          <w:rFonts w:cs="Arial"/>
          <w:lang w:val="de-DE"/>
        </w:rPr>
        <w:t>Mietverträge</w:t>
      </w:r>
      <w:r w:rsidR="0069164E">
        <w:rPr>
          <w:rFonts w:cs="Arial"/>
          <w:lang w:val="de-DE"/>
        </w:rPr>
        <w:t>n</w:t>
      </w:r>
      <w:r>
        <w:rPr>
          <w:rFonts w:cs="Arial"/>
          <w:lang w:val="de-DE"/>
        </w:rPr>
        <w:t xml:space="preserve"> basieren</w:t>
      </w:r>
      <w:r w:rsidR="00163255">
        <w:rPr>
          <w:rFonts w:cs="Arial"/>
          <w:lang w:val="de-DE"/>
        </w:rPr>
        <w:t xml:space="preserve">, die dem </w:t>
      </w:r>
      <w:proofErr w:type="spellStart"/>
      <w:r w:rsidR="00163255">
        <w:rPr>
          <w:rFonts w:cs="Arial"/>
          <w:lang w:val="de-DE"/>
        </w:rPr>
        <w:t>MieWeG</w:t>
      </w:r>
      <w:proofErr w:type="spellEnd"/>
      <w:r w:rsidR="00163255">
        <w:rPr>
          <w:rFonts w:cs="Arial"/>
          <w:lang w:val="de-DE"/>
        </w:rPr>
        <w:t xml:space="preserve"> unterliegen, sind daher unwirksam, da eine Erhöhung gesetzlich nur noch mit 1. April vorgenommen werden darf.</w:t>
      </w:r>
    </w:p>
    <w:p w14:paraId="74404464" w14:textId="15AC1AFD" w:rsidR="00163255" w:rsidRPr="005B1D3E" w:rsidRDefault="00163255" w:rsidP="00720E22">
      <w:pPr>
        <w:spacing w:after="120" w:line="276" w:lineRule="auto"/>
        <w:jc w:val="both"/>
        <w:rPr>
          <w:rFonts w:cs="Arial"/>
          <w:lang w:val="de-DE"/>
        </w:rPr>
      </w:pPr>
      <w:r w:rsidRPr="005B1D3E">
        <w:rPr>
          <w:rFonts w:cs="Arial"/>
          <w:lang w:val="de-DE"/>
        </w:rPr>
        <w:t xml:space="preserve">Die Mietzinserhöhung ist </w:t>
      </w:r>
      <w:r w:rsidRPr="005B1D3E">
        <w:rPr>
          <w:rFonts w:cs="Arial"/>
          <w:b/>
          <w:lang w:val="de-DE"/>
        </w:rPr>
        <w:t>der Höhe nach ebenfalls zweifach begrenzt</w:t>
      </w:r>
      <w:r w:rsidRPr="005B1D3E">
        <w:rPr>
          <w:rFonts w:cs="Arial"/>
          <w:lang w:val="de-DE"/>
        </w:rPr>
        <w:t xml:space="preserve">: Zum einen mit der </w:t>
      </w:r>
      <w:r w:rsidRPr="005B1D3E">
        <w:rPr>
          <w:rFonts w:cs="Arial"/>
          <w:b/>
          <w:lang w:val="de-DE"/>
        </w:rPr>
        <w:t>durchschnittlichen Erhöhung des VPI 2020 des vorangegangenen Kalenderjahrs</w:t>
      </w:r>
      <w:r w:rsidRPr="005B1D3E">
        <w:rPr>
          <w:rFonts w:cs="Arial"/>
          <w:lang w:val="de-DE"/>
        </w:rPr>
        <w:t xml:space="preserve"> und zum anderen wird </w:t>
      </w:r>
      <w:r w:rsidR="00EA1B09">
        <w:rPr>
          <w:rFonts w:cs="Arial"/>
          <w:lang w:val="de-DE"/>
        </w:rPr>
        <w:t>jede</w:t>
      </w:r>
      <w:r w:rsidRPr="005B1D3E">
        <w:rPr>
          <w:rFonts w:cs="Arial"/>
          <w:lang w:val="de-DE"/>
        </w:rPr>
        <w:t xml:space="preserve"> </w:t>
      </w:r>
      <w:r w:rsidRPr="005B1D3E">
        <w:rPr>
          <w:rFonts w:cs="Arial"/>
          <w:b/>
          <w:lang w:val="de-DE"/>
        </w:rPr>
        <w:t>Erhöhung, die größer als 3</w:t>
      </w:r>
      <w:r>
        <w:rPr>
          <w:rFonts w:cs="Arial"/>
          <w:b/>
          <w:lang w:val="de-DE"/>
        </w:rPr>
        <w:t> </w:t>
      </w:r>
      <w:r w:rsidRPr="005B1D3E">
        <w:rPr>
          <w:rFonts w:cs="Arial"/>
          <w:b/>
          <w:lang w:val="de-DE"/>
        </w:rPr>
        <w:t>% ist, nur zur Hälfte</w:t>
      </w:r>
      <w:r w:rsidRPr="005B1D3E">
        <w:rPr>
          <w:rFonts w:cs="Arial"/>
          <w:lang w:val="de-DE"/>
        </w:rPr>
        <w:t xml:space="preserve"> berücksichtigt. </w:t>
      </w:r>
    </w:p>
    <w:p w14:paraId="608C94F5" w14:textId="368A882D" w:rsidR="00163255" w:rsidRDefault="00163255" w:rsidP="00720E22">
      <w:pPr>
        <w:shd w:val="clear" w:color="auto" w:fill="FABF8F" w:themeFill="accent6" w:themeFillTint="99"/>
        <w:spacing w:line="276" w:lineRule="auto"/>
        <w:jc w:val="both"/>
        <w:rPr>
          <w:rFonts w:cs="Arial"/>
          <w:lang w:val="de-DE"/>
        </w:rPr>
      </w:pPr>
      <w:r w:rsidRPr="00643131">
        <w:rPr>
          <w:rFonts w:cs="Arial"/>
          <w:b/>
          <w:u w:val="single"/>
          <w:lang w:val="de-DE"/>
        </w:rPr>
        <w:t>Achtung</w:t>
      </w:r>
      <w:r>
        <w:rPr>
          <w:rFonts w:cs="Arial"/>
          <w:lang w:val="de-DE"/>
        </w:rPr>
        <w:t>: Bei Wohnungsmietverträgen, die dem Vollanwendungsbereich des MRG unterliegen, ist überdies die Wertsicherung dadurch begrenzt, dass bei der Veränderung des Entgelts die durchschnittliche Veränderung des VPI 2020 für das Jahr 2025 höchstens mit 1 % und für das Jahr 2026 höchstens mit 2 % berücksichtigbar ist.</w:t>
      </w:r>
    </w:p>
    <w:p w14:paraId="00800F4C" w14:textId="77777777" w:rsidR="00163255" w:rsidRDefault="00163255" w:rsidP="00A61CD5">
      <w:pPr>
        <w:spacing w:line="276" w:lineRule="auto"/>
        <w:rPr>
          <w:lang w:val="de-DE"/>
        </w:rPr>
      </w:pPr>
    </w:p>
    <w:p w14:paraId="0C3B52C0" w14:textId="565C0115" w:rsidR="00163255" w:rsidRPr="00115A93" w:rsidRDefault="00163255" w:rsidP="00F1173A">
      <w:pPr>
        <w:pStyle w:val="berschrift2"/>
        <w:rPr>
          <w:b w:val="0"/>
          <w:bCs/>
          <w:lang w:val="de-DE"/>
        </w:rPr>
      </w:pPr>
      <w:r>
        <w:rPr>
          <w:lang w:val="de-DE"/>
        </w:rPr>
        <w:t>Die Parallelrechnung</w:t>
      </w:r>
      <w:r w:rsidR="00115A93">
        <w:rPr>
          <w:lang w:val="de-DE"/>
        </w:rPr>
        <w:t xml:space="preserve"> </w:t>
      </w:r>
      <w:r>
        <w:rPr>
          <w:lang w:val="de-DE"/>
        </w:rPr>
        <w:t>anderslautender Wertsicherungsvereinbarungen</w:t>
      </w:r>
      <w:r w:rsidRPr="005B1D3E">
        <w:rPr>
          <w:rStyle w:val="Funotenzeichen"/>
          <w:rFonts w:cs="Arial"/>
          <w:u w:val="single"/>
          <w:lang w:val="de-DE"/>
        </w:rPr>
        <w:t xml:space="preserve"> </w:t>
      </w:r>
    </w:p>
    <w:p w14:paraId="5AE237C3" w14:textId="3BC85D9A" w:rsidR="00163255" w:rsidRDefault="00163255" w:rsidP="00720E22">
      <w:pPr>
        <w:spacing w:line="276" w:lineRule="auto"/>
        <w:jc w:val="both"/>
        <w:rPr>
          <w:rFonts w:cs="Arial"/>
          <w:lang w:val="de-DE"/>
        </w:rPr>
      </w:pPr>
      <w:r>
        <w:rPr>
          <w:rFonts w:cs="Arial"/>
          <w:lang w:val="de-DE"/>
        </w:rPr>
        <w:t xml:space="preserve">Für Mietverträge, </w:t>
      </w:r>
      <w:r w:rsidR="00EA1B09">
        <w:rPr>
          <w:rFonts w:cs="Arial"/>
          <w:lang w:val="de-DE"/>
        </w:rPr>
        <w:t>in denen</w:t>
      </w:r>
      <w:r>
        <w:rPr>
          <w:rFonts w:cs="Arial"/>
          <w:lang w:val="de-DE"/>
        </w:rPr>
        <w:t xml:space="preserve"> anderslautende Wertsicherungsvereinbarungen </w:t>
      </w:r>
      <w:r w:rsidR="00EA1B09">
        <w:rPr>
          <w:rFonts w:cs="Arial"/>
          <w:lang w:val="de-DE"/>
        </w:rPr>
        <w:t xml:space="preserve">als jene des </w:t>
      </w:r>
      <w:proofErr w:type="spellStart"/>
      <w:r w:rsidR="00EA1B09">
        <w:rPr>
          <w:rFonts w:cs="Arial"/>
          <w:lang w:val="de-DE"/>
        </w:rPr>
        <w:t>MieWeG</w:t>
      </w:r>
      <w:proofErr w:type="spellEnd"/>
      <w:r w:rsidR="00EA1B09">
        <w:rPr>
          <w:rFonts w:cs="Arial"/>
          <w:lang w:val="de-DE"/>
        </w:rPr>
        <w:t xml:space="preserve"> </w:t>
      </w:r>
      <w:r>
        <w:rPr>
          <w:rFonts w:cs="Arial"/>
          <w:lang w:val="de-DE"/>
        </w:rPr>
        <w:t xml:space="preserve">getroffen </w:t>
      </w:r>
      <w:r w:rsidR="00EA1B09">
        <w:rPr>
          <w:rFonts w:cs="Arial"/>
          <w:lang w:val="de-DE"/>
        </w:rPr>
        <w:t>wurden</w:t>
      </w:r>
      <w:r>
        <w:rPr>
          <w:rFonts w:cs="Arial"/>
          <w:lang w:val="de-DE"/>
        </w:rPr>
        <w:t>, sind für eine zulässige Erhöhung mit 1. April 2026 folgende (rechnerische) Schritte durchzuführen:</w:t>
      </w:r>
    </w:p>
    <w:p w14:paraId="33820D88" w14:textId="77777777" w:rsidR="00163255" w:rsidRDefault="00163255" w:rsidP="008A0B47">
      <w:pPr>
        <w:pStyle w:val="Listenabsatz"/>
        <w:numPr>
          <w:ilvl w:val="0"/>
          <w:numId w:val="22"/>
        </w:numPr>
        <w:spacing w:line="276" w:lineRule="auto"/>
        <w:ind w:left="567" w:hanging="284"/>
        <w:contextualSpacing/>
        <w:jc w:val="both"/>
        <w:rPr>
          <w:rFonts w:cs="Arial"/>
          <w:lang w:val="de-DE"/>
        </w:rPr>
      </w:pPr>
      <w:r>
        <w:rPr>
          <w:rFonts w:cs="Arial"/>
          <w:lang w:val="de-DE"/>
        </w:rPr>
        <w:t>Es ist zu ermitteln, wann aufgrund der vertraglichen Wertsicherungsvereinbarung eine mögliche Anhebung des Mietzinses ausgelöst wird und wie hoch die Erhöhung nach dieser Vereinbarung ausfällt. Es ist zwar unerheblich, wann eine Mietzinserhöhung gemäß der Vereinbarung möglich wäre, da eine Erhöhung nur mit 1. April gesetzlich vorgesehen ist, jedoch ist der Zeitpunkt der vertraglichen Erhöhung maßgeblich für den Erhöhungsbetrag (z.B. zeitlicher VPI Bezugspunkt) laut Vereinbarung.</w:t>
      </w:r>
    </w:p>
    <w:p w14:paraId="1F4DDE25" w14:textId="77777777" w:rsidR="00163255" w:rsidRDefault="00163255" w:rsidP="008A0B47">
      <w:pPr>
        <w:pStyle w:val="Listenabsatz"/>
        <w:numPr>
          <w:ilvl w:val="0"/>
          <w:numId w:val="22"/>
        </w:numPr>
        <w:spacing w:after="120" w:line="276" w:lineRule="auto"/>
        <w:ind w:left="567" w:hanging="284"/>
        <w:contextualSpacing/>
        <w:jc w:val="both"/>
        <w:rPr>
          <w:rFonts w:cs="Arial"/>
          <w:lang w:val="de-DE"/>
        </w:rPr>
      </w:pPr>
      <w:r>
        <w:rPr>
          <w:rFonts w:cs="Arial"/>
          <w:lang w:val="de-DE"/>
        </w:rPr>
        <w:t xml:space="preserve">In einem weiteren Schritt ist der Erhöhungsbetrag gemäß dem </w:t>
      </w:r>
      <w:proofErr w:type="spellStart"/>
      <w:r>
        <w:rPr>
          <w:rFonts w:cs="Arial"/>
          <w:lang w:val="de-DE"/>
        </w:rPr>
        <w:t>MieWeG</w:t>
      </w:r>
      <w:proofErr w:type="spellEnd"/>
      <w:r>
        <w:rPr>
          <w:rFonts w:cs="Arial"/>
          <w:lang w:val="de-DE"/>
        </w:rPr>
        <w:t xml:space="preserve"> zu ermitteln. </w:t>
      </w:r>
    </w:p>
    <w:p w14:paraId="094FECB7" w14:textId="22A26430" w:rsidR="00163255" w:rsidRPr="005B1D3E" w:rsidRDefault="00163255" w:rsidP="008A0B47">
      <w:pPr>
        <w:pStyle w:val="Listenabsatz"/>
        <w:numPr>
          <w:ilvl w:val="0"/>
          <w:numId w:val="22"/>
        </w:numPr>
        <w:spacing w:line="276" w:lineRule="auto"/>
        <w:ind w:left="567" w:hanging="284"/>
        <w:contextualSpacing/>
        <w:jc w:val="both"/>
        <w:rPr>
          <w:rFonts w:cs="Arial"/>
          <w:lang w:val="de-DE"/>
        </w:rPr>
      </w:pPr>
      <w:r>
        <w:rPr>
          <w:rFonts w:cs="Arial"/>
          <w:lang w:val="de-DE"/>
        </w:rPr>
        <w:t>Auf jenen Betrag, der von diesen beiden Ergebnissen niedriger ist, darf sodann mit dem nächstfolgenden 1. April angehoben werden.</w:t>
      </w:r>
    </w:p>
    <w:p w14:paraId="31CD721E" w14:textId="77777777" w:rsidR="00B26ECE" w:rsidRDefault="00B26ECE" w:rsidP="00F1173A">
      <w:bookmarkStart w:id="9" w:name="_Toc94641755"/>
      <w:bookmarkStart w:id="10" w:name="_Toc157547937"/>
    </w:p>
    <w:p w14:paraId="7739418C" w14:textId="77777777" w:rsidR="00EC4B17" w:rsidRPr="00EA359E" w:rsidRDefault="00EC4B17" w:rsidP="00F1173A"/>
    <w:p w14:paraId="7DD26B74" w14:textId="18FFD5D0" w:rsidR="00BA7F36" w:rsidRPr="00CE55D5" w:rsidRDefault="00BA7F36" w:rsidP="00BB6D2E">
      <w:pPr>
        <w:pStyle w:val="berschrift1"/>
        <w:rPr>
          <w:color w:val="004077"/>
          <w:sz w:val="22"/>
          <w:szCs w:val="22"/>
        </w:rPr>
      </w:pPr>
      <w:bookmarkStart w:id="11" w:name="_Toc220955345"/>
      <w:r w:rsidRPr="00CE55D5">
        <w:rPr>
          <w:color w:val="004077"/>
          <w:sz w:val="22"/>
          <w:szCs w:val="22"/>
        </w:rPr>
        <w:t>NEUE</w:t>
      </w:r>
      <w:r w:rsidR="00450090" w:rsidRPr="00CE55D5">
        <w:rPr>
          <w:color w:val="004077"/>
          <w:sz w:val="22"/>
          <w:szCs w:val="22"/>
        </w:rPr>
        <w:t>S</w:t>
      </w:r>
      <w:r w:rsidRPr="00CE55D5">
        <w:rPr>
          <w:color w:val="004077"/>
          <w:sz w:val="22"/>
          <w:szCs w:val="22"/>
        </w:rPr>
        <w:t xml:space="preserve"> AUS DER UMSATZSTEUER</w:t>
      </w:r>
      <w:bookmarkEnd w:id="11"/>
    </w:p>
    <w:p w14:paraId="323AA561" w14:textId="77777777" w:rsidR="0087374D" w:rsidRPr="0050381E" w:rsidRDefault="0087374D" w:rsidP="00F1173A">
      <w:pPr>
        <w:pStyle w:val="berschrift2"/>
      </w:pPr>
      <w:r w:rsidRPr="0050381E">
        <w:t>Vermietung einer Luxusimmobilie für Wohnzwecke</w:t>
      </w:r>
    </w:p>
    <w:p w14:paraId="3001A875" w14:textId="42EFE92D" w:rsidR="000B58FA" w:rsidRDefault="007E3894" w:rsidP="007E3894">
      <w:pPr>
        <w:spacing w:line="276" w:lineRule="auto"/>
        <w:jc w:val="both"/>
        <w:rPr>
          <w:rFonts w:cs="Arial"/>
        </w:rPr>
      </w:pPr>
      <w:r w:rsidRPr="003956F4">
        <w:rPr>
          <w:rFonts w:cs="Arial"/>
        </w:rPr>
        <w:t xml:space="preserve">Wie wir bereits in der </w:t>
      </w:r>
      <w:proofErr w:type="spellStart"/>
      <w:r w:rsidRPr="003956F4">
        <w:rPr>
          <w:rFonts w:cs="Arial"/>
        </w:rPr>
        <w:t>Kli</w:t>
      </w:r>
      <w:r w:rsidR="0069164E">
        <w:rPr>
          <w:rFonts w:cs="Arial"/>
        </w:rPr>
        <w:t>entenINFO</w:t>
      </w:r>
      <w:proofErr w:type="spellEnd"/>
      <w:r w:rsidRPr="003956F4">
        <w:rPr>
          <w:rFonts w:cs="Arial"/>
        </w:rPr>
        <w:t xml:space="preserve"> 6/2025 berichtet haben, wurde mit dem Betrugsbekämpfungsgesetz 2025 eine umsatzsteuerliche Regelung für sogenannte „Luxusimmobilien“ getroffen. Demnach gilt ab 2026 eine </w:t>
      </w:r>
      <w:r w:rsidRPr="003956F4">
        <w:rPr>
          <w:rFonts w:cs="Arial"/>
          <w:b/>
          <w:bCs/>
        </w:rPr>
        <w:t>unechte Umsatzsteuerbefreiung</w:t>
      </w:r>
      <w:r w:rsidRPr="003956F4">
        <w:rPr>
          <w:rFonts w:cs="Arial"/>
        </w:rPr>
        <w:t xml:space="preserve"> für die Vermietung von </w:t>
      </w:r>
      <w:r w:rsidRPr="003956F4">
        <w:rPr>
          <w:rFonts w:cs="Arial"/>
          <w:b/>
          <w:bCs/>
        </w:rPr>
        <w:t>besonders repräsentativen Gebäuden für Wohnzwecke</w:t>
      </w:r>
      <w:r w:rsidRPr="003956F4">
        <w:rPr>
          <w:rFonts w:cs="Arial"/>
        </w:rPr>
        <w:t xml:space="preserve"> („Luxusimmobilien“)</w:t>
      </w:r>
      <w:r w:rsidR="000B58FA">
        <w:rPr>
          <w:rFonts w:cs="Arial"/>
        </w:rPr>
        <w:t>. D</w:t>
      </w:r>
      <w:r w:rsidRPr="003956F4">
        <w:rPr>
          <w:rFonts w:cs="Arial"/>
        </w:rPr>
        <w:t xml:space="preserve">as bedeutet, dass für solche Objekte der Vorsteuerabzug nicht mehr zusteht. </w:t>
      </w:r>
    </w:p>
    <w:p w14:paraId="37D9BC9A" w14:textId="77777777" w:rsidR="000B58FA" w:rsidRDefault="000B58FA" w:rsidP="007E3894">
      <w:pPr>
        <w:spacing w:line="276" w:lineRule="auto"/>
        <w:jc w:val="both"/>
        <w:rPr>
          <w:rFonts w:cs="Arial"/>
        </w:rPr>
      </w:pPr>
    </w:p>
    <w:p w14:paraId="55F040F7" w14:textId="08D14E6D" w:rsidR="007E3894" w:rsidRPr="003956F4" w:rsidRDefault="007E3894" w:rsidP="007E3894">
      <w:pPr>
        <w:spacing w:line="276" w:lineRule="auto"/>
        <w:jc w:val="both"/>
        <w:rPr>
          <w:rFonts w:cs="Arial"/>
        </w:rPr>
      </w:pPr>
      <w:r w:rsidRPr="003956F4">
        <w:rPr>
          <w:rFonts w:cs="Arial"/>
        </w:rPr>
        <w:lastRenderedPageBreak/>
        <w:t xml:space="preserve">Eine „Luxusimmobilie“ liegt vor, wenn die </w:t>
      </w:r>
      <w:bookmarkStart w:id="12" w:name="_Hlk208339732"/>
      <w:r w:rsidRPr="003956F4">
        <w:rPr>
          <w:rFonts w:cs="Arial"/>
        </w:rPr>
        <w:t xml:space="preserve">Anschaffungs- oder Herstellungskosten, aktivierungspflichtigen Aufwendungen und Kosten von Großreparaturen für das Grundstück für Wohnzwecke </w:t>
      </w:r>
      <w:bookmarkEnd w:id="12"/>
      <w:r w:rsidRPr="003956F4">
        <w:rPr>
          <w:rFonts w:cs="Arial"/>
        </w:rPr>
        <w:t xml:space="preserve">innerhalb eines Zeitraums von fünf Jahren (ab Anschaffung bzw. Beginn </w:t>
      </w:r>
      <w:r w:rsidR="0069164E">
        <w:rPr>
          <w:rFonts w:cs="Arial"/>
        </w:rPr>
        <w:t>einer</w:t>
      </w:r>
      <w:r w:rsidRPr="003956F4">
        <w:rPr>
          <w:rFonts w:cs="Arial"/>
        </w:rPr>
        <w:t xml:space="preserve"> Herstellung) mehr als € 2</w:t>
      </w:r>
      <w:r w:rsidR="007E6C64">
        <w:rPr>
          <w:rFonts w:cs="Arial"/>
        </w:rPr>
        <w:t xml:space="preserve"> Mio.</w:t>
      </w:r>
      <w:r w:rsidRPr="003956F4">
        <w:rPr>
          <w:rFonts w:cs="Arial"/>
        </w:rPr>
        <w:t xml:space="preserve"> betragen. Im Zuge der Beratungen im Parlament wurde im Finanzausschuss noch geklärt, dass der Betrag von</w:t>
      </w:r>
      <w:r w:rsidRPr="003956F4">
        <w:rPr>
          <w:rFonts w:cs="Arial"/>
          <w:b/>
          <w:bCs/>
        </w:rPr>
        <w:t xml:space="preserve"> €</w:t>
      </w:r>
      <w:r>
        <w:rPr>
          <w:rFonts w:cs="Arial"/>
          <w:b/>
          <w:bCs/>
        </w:rPr>
        <w:t> </w:t>
      </w:r>
      <w:r w:rsidRPr="003956F4">
        <w:rPr>
          <w:rFonts w:cs="Arial"/>
          <w:b/>
          <w:bCs/>
        </w:rPr>
        <w:t>2</w:t>
      </w:r>
      <w:r>
        <w:rPr>
          <w:rFonts w:cs="Arial"/>
          <w:b/>
          <w:bCs/>
        </w:rPr>
        <w:t> </w:t>
      </w:r>
      <w:r w:rsidRPr="003956F4">
        <w:rPr>
          <w:rFonts w:cs="Arial"/>
          <w:b/>
          <w:bCs/>
        </w:rPr>
        <w:t>Mio</w:t>
      </w:r>
      <w:r>
        <w:rPr>
          <w:rFonts w:cs="Arial"/>
          <w:b/>
          <w:bCs/>
        </w:rPr>
        <w:t>.</w:t>
      </w:r>
      <w:r w:rsidRPr="003956F4">
        <w:rPr>
          <w:rFonts w:cs="Arial"/>
        </w:rPr>
        <w:t xml:space="preserve"> ein </w:t>
      </w:r>
      <w:r w:rsidRPr="003956F4">
        <w:rPr>
          <w:rFonts w:cs="Arial"/>
          <w:b/>
          <w:bCs/>
        </w:rPr>
        <w:t xml:space="preserve">Nettobetrag (also Betrag ohne Umsatzsteuer) </w:t>
      </w:r>
      <w:r w:rsidRPr="003956F4">
        <w:rPr>
          <w:rFonts w:cs="Arial"/>
        </w:rPr>
        <w:t>ist. Bei der Vermietung von Zinshäusern mit mehreren Mietwohnungen gilt die Grenze von €</w:t>
      </w:r>
      <w:r>
        <w:rPr>
          <w:rFonts w:cs="Arial"/>
        </w:rPr>
        <w:t> </w:t>
      </w:r>
      <w:r w:rsidRPr="003956F4">
        <w:rPr>
          <w:rFonts w:cs="Arial"/>
        </w:rPr>
        <w:t>2</w:t>
      </w:r>
      <w:r>
        <w:rPr>
          <w:rFonts w:cs="Arial"/>
        </w:rPr>
        <w:t> </w:t>
      </w:r>
      <w:r w:rsidRPr="003956F4">
        <w:rPr>
          <w:rFonts w:cs="Arial"/>
        </w:rPr>
        <w:t>Mio</w:t>
      </w:r>
      <w:r>
        <w:rPr>
          <w:rFonts w:cs="Arial"/>
        </w:rPr>
        <w:t>.</w:t>
      </w:r>
      <w:r w:rsidRPr="003956F4">
        <w:rPr>
          <w:rFonts w:cs="Arial"/>
        </w:rPr>
        <w:t xml:space="preserve"> (ohne Umsatzsteuer) </w:t>
      </w:r>
      <w:proofErr w:type="gramStart"/>
      <w:r w:rsidRPr="003956F4">
        <w:rPr>
          <w:rFonts w:cs="Arial"/>
        </w:rPr>
        <w:t>pro einzelner Wohnung</w:t>
      </w:r>
      <w:proofErr w:type="gramEnd"/>
      <w:r w:rsidR="000B58FA">
        <w:rPr>
          <w:rFonts w:cs="Arial"/>
        </w:rPr>
        <w:t>. I</w:t>
      </w:r>
      <w:r w:rsidRPr="003956F4">
        <w:rPr>
          <w:rFonts w:cs="Arial"/>
        </w:rPr>
        <w:t xml:space="preserve">n einem Haus kann also eine Wohnung als Luxusimmobilie gelten, auch wenn die Nachbarwohnung keine Luxusimmobilie ist. </w:t>
      </w:r>
    </w:p>
    <w:p w14:paraId="7CF93146" w14:textId="4CB0B724" w:rsidR="007E3894" w:rsidRPr="003956F4" w:rsidRDefault="007E3894" w:rsidP="007E3894">
      <w:pPr>
        <w:spacing w:line="276" w:lineRule="auto"/>
        <w:jc w:val="both"/>
        <w:rPr>
          <w:rFonts w:cs="Arial"/>
        </w:rPr>
      </w:pPr>
      <w:r w:rsidRPr="003956F4">
        <w:rPr>
          <w:rFonts w:cs="Arial"/>
        </w:rPr>
        <w:t xml:space="preserve">Diese </w:t>
      </w:r>
      <w:r w:rsidRPr="003956F4">
        <w:rPr>
          <w:rFonts w:cs="Arial"/>
          <w:b/>
          <w:bCs/>
        </w:rPr>
        <w:t>unechte Steuerbefreiung</w:t>
      </w:r>
      <w:r w:rsidRPr="003956F4">
        <w:rPr>
          <w:rFonts w:cs="Arial"/>
        </w:rPr>
        <w:t xml:space="preserve"> gilt </w:t>
      </w:r>
      <w:r w:rsidRPr="003956F4">
        <w:rPr>
          <w:rFonts w:cs="Arial"/>
          <w:b/>
          <w:bCs/>
        </w:rPr>
        <w:t xml:space="preserve">ab 1.1. 2026 </w:t>
      </w:r>
      <w:r w:rsidRPr="003956F4">
        <w:rPr>
          <w:rFonts w:cs="Arial"/>
          <w:bCs/>
        </w:rPr>
        <w:t>für</w:t>
      </w:r>
      <w:r w:rsidRPr="003956F4">
        <w:rPr>
          <w:rFonts w:cs="Arial"/>
          <w:b/>
          <w:bCs/>
        </w:rPr>
        <w:t xml:space="preserve"> Vermietungen</w:t>
      </w:r>
      <w:r w:rsidRPr="003956F4">
        <w:rPr>
          <w:rFonts w:cs="Arial"/>
        </w:rPr>
        <w:t xml:space="preserve"> zu Wohnzwecken. Voraussetzung ist, dass eine </w:t>
      </w:r>
      <w:r w:rsidRPr="003956F4">
        <w:rPr>
          <w:rFonts w:cs="Arial"/>
          <w:b/>
          <w:bCs/>
        </w:rPr>
        <w:t>Luxusimmobilie</w:t>
      </w:r>
      <w:r w:rsidRPr="003956F4">
        <w:rPr>
          <w:rFonts w:cs="Arial"/>
        </w:rPr>
        <w:t xml:space="preserve"> vorliegt. Eine </w:t>
      </w:r>
      <w:r w:rsidRPr="003956F4">
        <w:rPr>
          <w:rFonts w:cs="Arial"/>
          <w:b/>
          <w:bCs/>
        </w:rPr>
        <w:t>Luxusimmobilie</w:t>
      </w:r>
      <w:r w:rsidRPr="003956F4">
        <w:rPr>
          <w:rFonts w:cs="Arial"/>
        </w:rPr>
        <w:t xml:space="preserve"> ist gegeben, wenn folgende </w:t>
      </w:r>
      <w:r w:rsidRPr="003956F4">
        <w:rPr>
          <w:rFonts w:cs="Arial"/>
          <w:b/>
          <w:bCs/>
        </w:rPr>
        <w:t xml:space="preserve">Umstände </w:t>
      </w:r>
      <w:r w:rsidRPr="003956F4">
        <w:rPr>
          <w:rFonts w:cs="Arial"/>
          <w:bCs/>
        </w:rPr>
        <w:t>vorliegen</w:t>
      </w:r>
      <w:r w:rsidRPr="003956F4">
        <w:rPr>
          <w:rFonts w:cs="Arial"/>
        </w:rPr>
        <w:t>:</w:t>
      </w:r>
    </w:p>
    <w:p w14:paraId="7EE439B2" w14:textId="326EB02D" w:rsidR="007E3894" w:rsidRPr="003956F4" w:rsidRDefault="007E3894" w:rsidP="001E0EBF">
      <w:pPr>
        <w:pStyle w:val="AufzhlungenKlifonichtfett"/>
      </w:pPr>
      <w:r w:rsidRPr="003956F4">
        <w:t>Für ein Grundstück (für Wohnzwecke) sind Anschaffungs- oder Herstellungskosten, aktivierungspflichtige Aufwendungen und/oder Kosten für Großreparaturen von mehr als €</w:t>
      </w:r>
      <w:r>
        <w:t> </w:t>
      </w:r>
      <w:r w:rsidRPr="003956F4">
        <w:t>2</w:t>
      </w:r>
      <w:r>
        <w:t> </w:t>
      </w:r>
      <w:r w:rsidRPr="003956F4">
        <w:t>Mio</w:t>
      </w:r>
      <w:r>
        <w:t>.</w:t>
      </w:r>
      <w:r w:rsidRPr="003956F4">
        <w:t xml:space="preserve"> angefallen.</w:t>
      </w:r>
    </w:p>
    <w:p w14:paraId="148657D4" w14:textId="635FE506" w:rsidR="007E3894" w:rsidRPr="003956F4" w:rsidRDefault="007E3894" w:rsidP="001E0EBF">
      <w:pPr>
        <w:pStyle w:val="AufzhlungenKlifonichtfett"/>
      </w:pPr>
      <w:r w:rsidRPr="003956F4">
        <w:t xml:space="preserve">Dabei sind alle Kosten für den </w:t>
      </w:r>
      <w:r w:rsidR="007C5CD8">
        <w:t xml:space="preserve">Grund und </w:t>
      </w:r>
      <w:r w:rsidRPr="003956F4">
        <w:t>Boden und für das Gebäude samt den Nebengebäuden (Garagen, Schwimmbäder, etc</w:t>
      </w:r>
      <w:r>
        <w:t>.</w:t>
      </w:r>
      <w:r w:rsidRPr="003956F4">
        <w:t>) zusammenzurechnen. (Nur Herstellungskosten zur Beseitigung von Schäden aufgrund von Naturkatastrophen sind nicht zu berücksichtigen).</w:t>
      </w:r>
    </w:p>
    <w:p w14:paraId="00E424BB" w14:textId="573256BE" w:rsidR="007E3894" w:rsidRPr="003956F4" w:rsidRDefault="007E3894" w:rsidP="001E0EBF">
      <w:pPr>
        <w:pStyle w:val="AufzhlungenKlifonichtfett"/>
      </w:pPr>
      <w:r w:rsidRPr="003956F4">
        <w:t>Es werden alle Kosten erfasst, die innerhalb von fünf Jahren ab der Anschaffung bzw</w:t>
      </w:r>
      <w:r w:rsidR="000B58FA">
        <w:t>.</w:t>
      </w:r>
      <w:r w:rsidRPr="003956F4">
        <w:t xml:space="preserve"> ab Beginn </w:t>
      </w:r>
      <w:r w:rsidR="007C5CD8">
        <w:t>einer</w:t>
      </w:r>
      <w:r w:rsidRPr="003956F4">
        <w:t xml:space="preserve"> Herstellung anfallen.</w:t>
      </w:r>
    </w:p>
    <w:p w14:paraId="4B61BCB3" w14:textId="696B1166" w:rsidR="007E3894" w:rsidRDefault="007E3894" w:rsidP="001E0EBF">
      <w:pPr>
        <w:pStyle w:val="AufzhlungenKlifonichtfett"/>
      </w:pPr>
      <w:r w:rsidRPr="003956F4">
        <w:t xml:space="preserve">Vor dem 1.1.2026 angefallene Kosten </w:t>
      </w:r>
      <w:r w:rsidR="004E07E9">
        <w:t xml:space="preserve">von laufenden Bauprojekten </w:t>
      </w:r>
      <w:r w:rsidRPr="003956F4">
        <w:t>zählen allerdings nicht</w:t>
      </w:r>
      <w:r w:rsidR="004E07E9">
        <w:t xml:space="preserve"> zur € 2 Mio. Grenze</w:t>
      </w:r>
      <w:r w:rsidRPr="003956F4">
        <w:t xml:space="preserve">. Nur alle nach dem 31.12.2025 anfallenden Anschaffungs- oder Herstellungskosten und Kosten für Großreparaturen </w:t>
      </w:r>
      <w:r w:rsidR="004E07E9">
        <w:t>werden davon erfasst.</w:t>
      </w:r>
      <w:r w:rsidRPr="003956F4">
        <w:t xml:space="preserve"> Dabei wird hinsichtlich des Zeitpunktes darauf abgestellt, wann das Recht auf Vorsteuerabzug entsteht. Daher zählten die bis Ende 2025 getätigten Investitionen nur dann nicht, wenn für sie der Vorsteuerabzug noch bis inklusive 2025 geltend </w:t>
      </w:r>
      <w:r w:rsidR="007C5CD8">
        <w:t xml:space="preserve">gemacht </w:t>
      </w:r>
      <w:r w:rsidRPr="003956F4">
        <w:t>werden kann. Somit muss die Schlussrechnung oder die Rechnung über eine abgrenzbare Teilleistung oder eine Anzahlungsrechnung bereits 2025 ausgestellt sein, damit die Investition nicht mehr für die Grenze von €</w:t>
      </w:r>
      <w:r>
        <w:t> </w:t>
      </w:r>
      <w:r w:rsidRPr="003956F4">
        <w:t>2</w:t>
      </w:r>
      <w:r>
        <w:t> </w:t>
      </w:r>
      <w:r w:rsidRPr="003956F4">
        <w:t>Mio</w:t>
      </w:r>
      <w:r>
        <w:t>.</w:t>
      </w:r>
      <w:r w:rsidRPr="003956F4">
        <w:t xml:space="preserve"> zählt.</w:t>
      </w:r>
    </w:p>
    <w:p w14:paraId="600801AA" w14:textId="77777777" w:rsidR="00EC4B17" w:rsidRPr="003956F4" w:rsidRDefault="00EC4B17" w:rsidP="00EC4B17">
      <w:pPr>
        <w:pStyle w:val="AufzhlungenKlifonichtfett"/>
        <w:numPr>
          <w:ilvl w:val="0"/>
          <w:numId w:val="0"/>
        </w:numPr>
        <w:ind w:left="568"/>
      </w:pPr>
    </w:p>
    <w:p w14:paraId="7F9103A7" w14:textId="6AAB01EA"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u w:val="single"/>
        </w:rPr>
      </w:pPr>
      <w:r w:rsidRPr="00BB0ECC">
        <w:rPr>
          <w:rFonts w:cs="Arial"/>
          <w:b/>
          <w:bCs/>
          <w:i/>
          <w:iCs/>
          <w:u w:val="single"/>
        </w:rPr>
        <w:t>Beispiel 1</w:t>
      </w:r>
      <w:r w:rsidR="001A1525">
        <w:rPr>
          <w:rFonts w:cs="Arial"/>
          <w:i/>
          <w:iCs/>
          <w:u w:val="single"/>
        </w:rPr>
        <w:t>:</w:t>
      </w:r>
      <w:r w:rsidRPr="007E3894">
        <w:rPr>
          <w:rFonts w:cs="Arial"/>
          <w:i/>
          <w:iCs/>
          <w:u w:val="single"/>
        </w:rPr>
        <w:t xml:space="preserve"> </w:t>
      </w:r>
    </w:p>
    <w:p w14:paraId="79462729" w14:textId="7296AEFE"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Erwerb eines Grundstücks mit einem Einfamilienhaus im Jänner 2026 um € 1</w:t>
      </w:r>
      <w:r w:rsidR="000B58FA">
        <w:rPr>
          <w:rFonts w:cs="Arial"/>
          <w:i/>
          <w:iCs/>
        </w:rPr>
        <w:t>,</w:t>
      </w:r>
      <w:r w:rsidRPr="007E3894">
        <w:rPr>
          <w:rFonts w:cs="Arial"/>
          <w:i/>
          <w:iCs/>
        </w:rPr>
        <w:t xml:space="preserve">9 Mio. (ohne </w:t>
      </w:r>
      <w:proofErr w:type="spellStart"/>
      <w:r w:rsidRPr="007E3894">
        <w:rPr>
          <w:rFonts w:cs="Arial"/>
          <w:i/>
          <w:iCs/>
        </w:rPr>
        <w:t>USt</w:t>
      </w:r>
      <w:proofErr w:type="spellEnd"/>
      <w:r w:rsidRPr="007E3894">
        <w:rPr>
          <w:rFonts w:cs="Arial"/>
          <w:i/>
          <w:iCs/>
        </w:rPr>
        <w:t>) und Vermietung zu Wohnzwecken. Im Jänner 2027 Renovierung des Hauses um €</w:t>
      </w:r>
      <w:r w:rsidR="007E6C64">
        <w:rPr>
          <w:rFonts w:cs="Arial"/>
          <w:i/>
          <w:iCs/>
        </w:rPr>
        <w:t> </w:t>
      </w:r>
      <w:r w:rsidRPr="007E3894">
        <w:rPr>
          <w:rFonts w:cs="Arial"/>
          <w:i/>
          <w:iCs/>
        </w:rPr>
        <w:t>500.000 netto.</w:t>
      </w:r>
    </w:p>
    <w:p w14:paraId="2E2372DF" w14:textId="77777777"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p>
    <w:p w14:paraId="135935BA" w14:textId="6FDA8B6B"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Lösung:</w:t>
      </w:r>
    </w:p>
    <w:p w14:paraId="15EF2BDD" w14:textId="60BA4E5D"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 xml:space="preserve">Im Jahr 2026 liegt keine Luxusimmobilie vor, die Vermietung ist steuerpflichtig </w:t>
      </w:r>
      <w:r w:rsidR="000B58FA">
        <w:rPr>
          <w:rFonts w:cs="Arial"/>
          <w:i/>
          <w:iCs/>
        </w:rPr>
        <w:t>mit</w:t>
      </w:r>
      <w:r w:rsidRPr="007E3894">
        <w:rPr>
          <w:rFonts w:cs="Arial"/>
          <w:i/>
          <w:iCs/>
        </w:rPr>
        <w:t xml:space="preserve"> 10 % </w:t>
      </w:r>
      <w:proofErr w:type="spellStart"/>
      <w:r w:rsidRPr="007E3894">
        <w:rPr>
          <w:rFonts w:cs="Arial"/>
          <w:i/>
          <w:iCs/>
        </w:rPr>
        <w:t>USt</w:t>
      </w:r>
      <w:proofErr w:type="spellEnd"/>
      <w:r w:rsidRPr="007E3894">
        <w:rPr>
          <w:rFonts w:cs="Arial"/>
          <w:i/>
          <w:iCs/>
        </w:rPr>
        <w:t xml:space="preserve">. Der Vorsteuerabzug steht zu. Im Jänner 2027 wird die Grenze von € 2 Mio. überschritten. Die Vermietung ist nunmehr </w:t>
      </w:r>
      <w:r w:rsidR="007C5CD8">
        <w:rPr>
          <w:rFonts w:cs="Arial"/>
          <w:i/>
          <w:iCs/>
        </w:rPr>
        <w:t xml:space="preserve">ab Jänner 2027 </w:t>
      </w:r>
      <w:r w:rsidRPr="007E3894">
        <w:rPr>
          <w:rFonts w:cs="Arial"/>
          <w:i/>
          <w:iCs/>
        </w:rPr>
        <w:t>unecht umsatzsteuerbefreit. Für die Renovierungskosten von € 500.000 steht kein Vorsteuerabzug zu. Für die allfällige Vorsteuer aus den Anschaffungskosten des Jahres 2026 ist ab dem Jahr 2027 eine Vorsteuerberichtigung von jährlich einem Zwanzigstel vorzunehmen.</w:t>
      </w:r>
    </w:p>
    <w:p w14:paraId="3EE98226" w14:textId="77777777" w:rsidR="007E3894" w:rsidRDefault="007E3894" w:rsidP="007E3894">
      <w:pPr>
        <w:spacing w:line="276" w:lineRule="auto"/>
        <w:jc w:val="both"/>
        <w:rPr>
          <w:rFonts w:cs="Arial"/>
          <w:u w:val="single"/>
        </w:rPr>
      </w:pPr>
    </w:p>
    <w:p w14:paraId="1372769C" w14:textId="5B68726E" w:rsidR="007E3894" w:rsidRPr="00BB0ECC"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b/>
          <w:bCs/>
          <w:i/>
          <w:iCs/>
          <w:u w:val="single"/>
        </w:rPr>
      </w:pPr>
      <w:r w:rsidRPr="00BB0ECC">
        <w:rPr>
          <w:rFonts w:cs="Arial"/>
          <w:b/>
          <w:bCs/>
          <w:i/>
          <w:iCs/>
          <w:u w:val="single"/>
        </w:rPr>
        <w:t>Beispiel 2</w:t>
      </w:r>
      <w:r w:rsidR="001A1525" w:rsidRPr="00BB0ECC">
        <w:rPr>
          <w:rFonts w:cs="Arial"/>
          <w:b/>
          <w:bCs/>
          <w:i/>
          <w:iCs/>
          <w:u w:val="single"/>
        </w:rPr>
        <w:t>:</w:t>
      </w:r>
    </w:p>
    <w:p w14:paraId="293CF06D" w14:textId="76F3642C"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Erwerb eines bebauten Grundstücks im Jahr 2025 um € 4 Mio. netto, Großreparatur im Jahr 2026 um € 1,7 Mio. netto und sodann Vermietung zu Wohnzwecken. Zubau im Jänner 2029 um € 900.000 netto.</w:t>
      </w:r>
    </w:p>
    <w:p w14:paraId="097698CB" w14:textId="77777777"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p>
    <w:p w14:paraId="21E05074" w14:textId="7256DD59"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 xml:space="preserve">Lösung: </w:t>
      </w:r>
    </w:p>
    <w:p w14:paraId="357B373A" w14:textId="665D2A69" w:rsidR="007E3894" w:rsidRPr="007E3894" w:rsidRDefault="007E3894" w:rsidP="007E3894">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E3894">
        <w:rPr>
          <w:rFonts w:cs="Arial"/>
          <w:i/>
          <w:iCs/>
        </w:rPr>
        <w:t xml:space="preserve">2026, 2027 und 2028 liegt keine Luxusimmobilie vor (die Investition 2025 zählt nicht </w:t>
      </w:r>
      <w:r w:rsidR="004E07E9">
        <w:rPr>
          <w:rFonts w:cs="Arial"/>
          <w:i/>
          <w:iCs/>
        </w:rPr>
        <w:t>zur</w:t>
      </w:r>
      <w:r w:rsidRPr="007E3894">
        <w:rPr>
          <w:rFonts w:cs="Arial"/>
          <w:i/>
          <w:iCs/>
        </w:rPr>
        <w:t xml:space="preserve"> Grenze von € 2 Mio., die Großreparatur 2026 liegt unter € 2 Mio.). Daher ist </w:t>
      </w:r>
      <w:r w:rsidR="001A1525">
        <w:rPr>
          <w:rFonts w:cs="Arial"/>
          <w:i/>
          <w:iCs/>
        </w:rPr>
        <w:t xml:space="preserve">in den Jahren </w:t>
      </w:r>
      <w:r w:rsidRPr="007E3894">
        <w:rPr>
          <w:rFonts w:cs="Arial"/>
          <w:i/>
          <w:iCs/>
        </w:rPr>
        <w:t xml:space="preserve">2026 bis 2028 die Vermietung umsatzsteuerpflichtig </w:t>
      </w:r>
      <w:r w:rsidR="000B58FA">
        <w:rPr>
          <w:rFonts w:cs="Arial"/>
          <w:i/>
          <w:iCs/>
        </w:rPr>
        <w:t>mit</w:t>
      </w:r>
      <w:r w:rsidRPr="007E3894">
        <w:rPr>
          <w:rFonts w:cs="Arial"/>
          <w:i/>
          <w:iCs/>
        </w:rPr>
        <w:t xml:space="preserve"> 10 % </w:t>
      </w:r>
      <w:proofErr w:type="spellStart"/>
      <w:r w:rsidRPr="007E3894">
        <w:rPr>
          <w:rFonts w:cs="Arial"/>
          <w:i/>
          <w:iCs/>
        </w:rPr>
        <w:t>USt</w:t>
      </w:r>
      <w:proofErr w:type="spellEnd"/>
      <w:r w:rsidRPr="007E3894">
        <w:rPr>
          <w:rFonts w:cs="Arial"/>
          <w:i/>
          <w:iCs/>
        </w:rPr>
        <w:t>. Der Vorsteuerabzug steht zu. Im Jänner 2029 wird die Grenze von € 2 Mio. überschritten (€ 1</w:t>
      </w:r>
      <w:r w:rsidR="000B58FA">
        <w:rPr>
          <w:rFonts w:cs="Arial"/>
          <w:i/>
          <w:iCs/>
        </w:rPr>
        <w:t>,</w:t>
      </w:r>
      <w:r w:rsidRPr="007E3894">
        <w:rPr>
          <w:rFonts w:cs="Arial"/>
          <w:i/>
          <w:iCs/>
        </w:rPr>
        <w:t xml:space="preserve">700.000 plus € 900.000 = € 2,600.000). Ab </w:t>
      </w:r>
      <w:r w:rsidR="007C5CD8">
        <w:rPr>
          <w:rFonts w:cs="Arial"/>
          <w:i/>
          <w:iCs/>
        </w:rPr>
        <w:t xml:space="preserve">Jänner 2029 </w:t>
      </w:r>
      <w:r w:rsidRPr="007E3894">
        <w:rPr>
          <w:rFonts w:cs="Arial"/>
          <w:i/>
          <w:iCs/>
        </w:rPr>
        <w:t xml:space="preserve">gilt das Objekt als Luxusimmobilie und die Vermietung ist ab 2029 unecht umsatzsteuerbefreit. Das bedeutet: Für den 2029 errichteten Zubau steht kein Vorsteuerabzug zu. Zusätzlich ist ab 2029 jedes Jahr eine Vorsteuerberichtigung in Höhe eines </w:t>
      </w:r>
      <w:proofErr w:type="spellStart"/>
      <w:r w:rsidRPr="007E3894">
        <w:rPr>
          <w:rFonts w:cs="Arial"/>
          <w:i/>
          <w:iCs/>
        </w:rPr>
        <w:t>Zwanzigstels</w:t>
      </w:r>
      <w:proofErr w:type="spellEnd"/>
      <w:r w:rsidRPr="007E3894">
        <w:rPr>
          <w:rFonts w:cs="Arial"/>
          <w:i/>
          <w:iCs/>
        </w:rPr>
        <w:t xml:space="preserve"> aller geltend gemachten Vorsteuern (auch der bereits 2025 und 2026 für die Immobilie geltend gemachten Vorsteuern) vorzunehmen.</w:t>
      </w:r>
    </w:p>
    <w:p w14:paraId="530271AE" w14:textId="77777777" w:rsidR="007E3894" w:rsidRPr="003956F4" w:rsidRDefault="007E3894" w:rsidP="007E3894">
      <w:pPr>
        <w:spacing w:line="276" w:lineRule="auto"/>
        <w:jc w:val="both"/>
        <w:rPr>
          <w:rFonts w:cs="Arial"/>
        </w:rPr>
      </w:pPr>
    </w:p>
    <w:p w14:paraId="1FCFF03D" w14:textId="1F30FC2D" w:rsidR="007E3894" w:rsidRPr="003956F4" w:rsidRDefault="007E3894" w:rsidP="007E3894">
      <w:pPr>
        <w:shd w:val="clear" w:color="auto" w:fill="FABF8F" w:themeFill="accent6" w:themeFillTint="99"/>
        <w:spacing w:line="276" w:lineRule="auto"/>
        <w:jc w:val="both"/>
        <w:rPr>
          <w:rFonts w:cs="Arial"/>
        </w:rPr>
      </w:pPr>
      <w:r w:rsidRPr="003956F4">
        <w:rPr>
          <w:rFonts w:cs="Arial"/>
          <w:u w:val="single"/>
        </w:rPr>
        <w:t>Hinweis für die Verwaltung von Wohnungseigentumsobjekten:</w:t>
      </w:r>
      <w:r w:rsidRPr="003956F4">
        <w:rPr>
          <w:rFonts w:cs="Arial"/>
        </w:rPr>
        <w:t xml:space="preserve"> Auch in Wohnungseigentumsobjekten gilt jede ab 2026 angeschaffte/hergestellte und für Wohnzwecke verwendete Wohnung bei Überschreiten der Grenze von € 2</w:t>
      </w:r>
      <w:r>
        <w:rPr>
          <w:rFonts w:cs="Arial"/>
        </w:rPr>
        <w:t> </w:t>
      </w:r>
      <w:r w:rsidRPr="003956F4">
        <w:rPr>
          <w:rFonts w:cs="Arial"/>
        </w:rPr>
        <w:t>Mio</w:t>
      </w:r>
      <w:r>
        <w:rPr>
          <w:rFonts w:cs="Arial"/>
        </w:rPr>
        <w:t>.</w:t>
      </w:r>
      <w:r w:rsidRPr="003956F4">
        <w:rPr>
          <w:rFonts w:cs="Arial"/>
        </w:rPr>
        <w:t xml:space="preserve"> als Luxusimmobilie, sodass der Wohnungseigentumsgemeinschaft diesbezüglich kein Vorsteuerabzug für die </w:t>
      </w:r>
      <w:r w:rsidRPr="003956F4">
        <w:rPr>
          <w:rFonts w:cs="Arial"/>
          <w:b/>
        </w:rPr>
        <w:t>Erhaltungs- und Verwaltungskosten</w:t>
      </w:r>
      <w:r w:rsidRPr="003956F4">
        <w:rPr>
          <w:rFonts w:cs="Arial"/>
        </w:rPr>
        <w:t xml:space="preserve"> zusteht.</w:t>
      </w:r>
    </w:p>
    <w:p w14:paraId="07400757" w14:textId="77777777" w:rsidR="007E3894" w:rsidRPr="003956F4" w:rsidRDefault="007E3894" w:rsidP="007E3894">
      <w:pPr>
        <w:spacing w:line="276" w:lineRule="auto"/>
        <w:jc w:val="both"/>
        <w:rPr>
          <w:rFonts w:cs="Arial"/>
        </w:rPr>
      </w:pPr>
    </w:p>
    <w:p w14:paraId="7AE301BE" w14:textId="77777777" w:rsidR="00133BB5" w:rsidRPr="00772FC9" w:rsidRDefault="00133BB5" w:rsidP="00F1173A">
      <w:pPr>
        <w:pStyle w:val="berschrift2"/>
      </w:pPr>
      <w:r w:rsidRPr="00772FC9">
        <w:t xml:space="preserve">Erhöhung der Umsatzgrenze für „Kalte-Hände-Regelung“ </w:t>
      </w:r>
      <w:r>
        <w:t>auf € 45.000</w:t>
      </w:r>
    </w:p>
    <w:p w14:paraId="71C6CFA1" w14:textId="4717FC07" w:rsidR="00133BB5" w:rsidRPr="00772FC9" w:rsidRDefault="00133BB5" w:rsidP="00A61CD5">
      <w:pPr>
        <w:spacing w:line="276" w:lineRule="auto"/>
        <w:jc w:val="both"/>
        <w:rPr>
          <w:rFonts w:cs="Arial"/>
        </w:rPr>
      </w:pPr>
      <w:r w:rsidRPr="00772FC9">
        <w:rPr>
          <w:rFonts w:cs="Arial"/>
        </w:rPr>
        <w:t>Für Umsätze, die unter die „Kalte-Hände-Regelung“ fallen, ist grundsätzlich eine vereinfachte Losungsermittlung durch „Kassasturz“ erlaubt</w:t>
      </w:r>
      <w:r w:rsidR="000B58FA">
        <w:rPr>
          <w:rFonts w:cs="Arial"/>
        </w:rPr>
        <w:t>. D</w:t>
      </w:r>
      <w:r w:rsidRPr="00772FC9">
        <w:rPr>
          <w:rFonts w:cs="Arial"/>
        </w:rPr>
        <w:t xml:space="preserve">as heißt, die Bareingänge eines Tages werden durch Rückrechnung aus dem ausgezählten End- und Anfangsbestand ermittelt. Für solche Umsätze besteht </w:t>
      </w:r>
      <w:r w:rsidRPr="00772FC9">
        <w:rPr>
          <w:rFonts w:cs="Arial"/>
          <w:b/>
        </w:rPr>
        <w:t>keine Pflicht zur Registrierkasse</w:t>
      </w:r>
      <w:r w:rsidRPr="00772FC9">
        <w:rPr>
          <w:rFonts w:cs="Arial"/>
        </w:rPr>
        <w:t xml:space="preserve"> und </w:t>
      </w:r>
      <w:r w:rsidRPr="00772FC9">
        <w:rPr>
          <w:rFonts w:cs="Arial"/>
          <w:b/>
        </w:rPr>
        <w:t>keine Belegerteilungspflicht</w:t>
      </w:r>
      <w:r w:rsidRPr="00772FC9">
        <w:rPr>
          <w:rFonts w:cs="Arial"/>
        </w:rPr>
        <w:t>. Diese Regelung erfasst</w:t>
      </w:r>
      <w:r w:rsidR="007E3894">
        <w:rPr>
          <w:rFonts w:cs="Arial"/>
        </w:rPr>
        <w:t>:</w:t>
      </w:r>
      <w:r w:rsidRPr="00772FC9">
        <w:rPr>
          <w:rFonts w:cs="Arial"/>
        </w:rPr>
        <w:t xml:space="preserve"> </w:t>
      </w:r>
    </w:p>
    <w:p w14:paraId="73184C32" w14:textId="66379C8B" w:rsidR="00133BB5" w:rsidRPr="00DF601F" w:rsidRDefault="00133BB5" w:rsidP="001E0EBF">
      <w:pPr>
        <w:pStyle w:val="AufzhlungenKlifonichtfett"/>
      </w:pPr>
      <w:r w:rsidRPr="00DF601F">
        <w:t xml:space="preserve">Umsätze im Freien, die von Haus zu Haus oder auf öffentlichen Straßen und Plätzen ausgeführt werden, </w:t>
      </w:r>
    </w:p>
    <w:p w14:paraId="06300BFC" w14:textId="0CD62CA0" w:rsidR="00133BB5" w:rsidRPr="00DF601F" w:rsidRDefault="00133BB5" w:rsidP="001E0EBF">
      <w:pPr>
        <w:pStyle w:val="AufzhlungenKlifonichtfett"/>
      </w:pPr>
      <w:r w:rsidRPr="00DF601F">
        <w:t>Umsätze in einem Buschenschank</w:t>
      </w:r>
      <w:r w:rsidR="000B58FA">
        <w:t>,</w:t>
      </w:r>
    </w:p>
    <w:p w14:paraId="7C4872B9" w14:textId="77777777" w:rsidR="00133BB5" w:rsidRPr="00DF601F" w:rsidRDefault="00133BB5" w:rsidP="001E0EBF">
      <w:pPr>
        <w:pStyle w:val="AufzhlungenKlifonichtfett"/>
      </w:pPr>
      <w:r w:rsidRPr="00DF601F">
        <w:t xml:space="preserve">Umsätze in Alm-, Berg-, Schi- und Schutzhütten und ähnliche Hütten, </w:t>
      </w:r>
    </w:p>
    <w:p w14:paraId="02661B8C" w14:textId="77777777" w:rsidR="00133BB5" w:rsidRPr="00DF601F" w:rsidRDefault="00133BB5" w:rsidP="001E0EBF">
      <w:pPr>
        <w:pStyle w:val="AufzhlungenKlifonichtfett"/>
      </w:pPr>
      <w:r w:rsidRPr="00DF601F">
        <w:t>Umsätze in kleinen Kantinen (an maximal 52 Tagen/Jahr geöffnet) gemeinnütziger Vereine.</w:t>
      </w:r>
    </w:p>
    <w:p w14:paraId="223B728C" w14:textId="0280F6ED" w:rsidR="00133BB5" w:rsidRPr="00772FC9" w:rsidRDefault="00133BB5" w:rsidP="00133BB5">
      <w:pPr>
        <w:spacing w:line="276" w:lineRule="auto"/>
        <w:jc w:val="both"/>
        <w:rPr>
          <w:rFonts w:cs="Arial"/>
        </w:rPr>
      </w:pPr>
      <w:r w:rsidRPr="00772FC9">
        <w:rPr>
          <w:rFonts w:cs="Arial"/>
        </w:rPr>
        <w:t>Bisher war diese „Kalte-Hände-Regelung“ nur anwendbar, wenn die Umsätze pro Kalenderjahr und Steuerpflichtigem €</w:t>
      </w:r>
      <w:r w:rsidR="001A1525">
        <w:rPr>
          <w:rFonts w:cs="Arial"/>
        </w:rPr>
        <w:t> </w:t>
      </w:r>
      <w:proofErr w:type="gramStart"/>
      <w:r w:rsidRPr="00772FC9">
        <w:rPr>
          <w:rFonts w:cs="Arial"/>
        </w:rPr>
        <w:t>30.000,-</w:t>
      </w:r>
      <w:proofErr w:type="gramEnd"/>
      <w:r w:rsidRPr="00772FC9">
        <w:rPr>
          <w:rFonts w:cs="Arial"/>
        </w:rPr>
        <w:t xml:space="preserve"> nicht übersti</w:t>
      </w:r>
      <w:r w:rsidR="007E3894">
        <w:rPr>
          <w:rFonts w:cs="Arial"/>
        </w:rPr>
        <w:t>e</w:t>
      </w:r>
      <w:r w:rsidRPr="00772FC9">
        <w:rPr>
          <w:rFonts w:cs="Arial"/>
        </w:rPr>
        <w:t xml:space="preserve">gen. Mit dem </w:t>
      </w:r>
      <w:proofErr w:type="spellStart"/>
      <w:r w:rsidRPr="00772FC9">
        <w:rPr>
          <w:rFonts w:cs="Arial"/>
        </w:rPr>
        <w:t>AbgÄG</w:t>
      </w:r>
      <w:proofErr w:type="spellEnd"/>
      <w:r w:rsidRPr="00772FC9">
        <w:rPr>
          <w:rFonts w:cs="Arial"/>
        </w:rPr>
        <w:t xml:space="preserve"> 2025 ist diese </w:t>
      </w:r>
      <w:r w:rsidRPr="00CB63AC">
        <w:rPr>
          <w:rFonts w:cs="Arial"/>
          <w:b/>
          <w:bCs/>
        </w:rPr>
        <w:t>Umsatzgrenze ab 1.1.2026</w:t>
      </w:r>
      <w:r w:rsidRPr="00772FC9">
        <w:rPr>
          <w:rFonts w:cs="Arial"/>
        </w:rPr>
        <w:t xml:space="preserve"> auf </w:t>
      </w:r>
      <w:r w:rsidRPr="00772FC9">
        <w:rPr>
          <w:rFonts w:cs="Arial"/>
          <w:b/>
          <w:bCs/>
        </w:rPr>
        <w:t>€</w:t>
      </w:r>
      <w:r w:rsidR="001A1525">
        <w:rPr>
          <w:rFonts w:cs="Arial"/>
          <w:b/>
          <w:bCs/>
        </w:rPr>
        <w:t> </w:t>
      </w:r>
      <w:r w:rsidRPr="00772FC9">
        <w:rPr>
          <w:rFonts w:cs="Arial"/>
          <w:b/>
          <w:bCs/>
        </w:rPr>
        <w:t>45.000 angehoben</w:t>
      </w:r>
      <w:r w:rsidRPr="00772FC9">
        <w:rPr>
          <w:rFonts w:cs="Arial"/>
        </w:rPr>
        <w:t xml:space="preserve"> worden. </w:t>
      </w:r>
    </w:p>
    <w:p w14:paraId="5DA6308A" w14:textId="77777777" w:rsidR="00133BB5" w:rsidRPr="00772FC9" w:rsidRDefault="00133BB5" w:rsidP="00133BB5">
      <w:pPr>
        <w:spacing w:line="276" w:lineRule="auto"/>
        <w:jc w:val="both"/>
        <w:rPr>
          <w:rFonts w:cs="Arial"/>
          <w:b/>
          <w:bCs/>
        </w:rPr>
      </w:pPr>
    </w:p>
    <w:p w14:paraId="5D0AB247" w14:textId="77777777" w:rsidR="00B26ECE" w:rsidRPr="00B26ECE" w:rsidRDefault="00B26ECE" w:rsidP="00F1173A">
      <w:pPr>
        <w:pStyle w:val="berschrift2"/>
        <w:rPr>
          <w:rFonts w:eastAsia="Calibri"/>
          <w:lang w:eastAsia="en-US"/>
        </w:rPr>
      </w:pPr>
      <w:r w:rsidRPr="00B26ECE">
        <w:rPr>
          <w:rFonts w:eastAsia="Calibri"/>
          <w:lang w:eastAsia="en-US"/>
        </w:rPr>
        <w:t>Beleglotteriegesetz</w:t>
      </w:r>
    </w:p>
    <w:p w14:paraId="7E6628E7" w14:textId="288DA576" w:rsidR="00B26ECE" w:rsidRPr="00B26ECE" w:rsidRDefault="00B26ECE" w:rsidP="00B74C4F">
      <w:pPr>
        <w:spacing w:after="160" w:line="276" w:lineRule="auto"/>
        <w:jc w:val="both"/>
        <w:rPr>
          <w:rFonts w:eastAsia="Calibri" w:cs="Arial"/>
          <w:kern w:val="2"/>
          <w:lang w:eastAsia="en-US"/>
          <w14:ligatures w14:val="standardContextual"/>
        </w:rPr>
      </w:pPr>
      <w:r w:rsidRPr="00B26ECE">
        <w:rPr>
          <w:rFonts w:eastAsia="Calibri" w:cs="Arial"/>
          <w:kern w:val="2"/>
          <w:lang w:eastAsia="en-US"/>
          <w14:ligatures w14:val="standardContextual"/>
        </w:rPr>
        <w:t xml:space="preserve">Im Parlament wird derzeit über einen Initiativantrag für ein Beleglotteriegesetz beraten. Dem Gesetzesentwurf zufolge soll jeder, der </w:t>
      </w:r>
      <w:r w:rsidRPr="00B26ECE">
        <w:rPr>
          <w:rFonts w:eastAsia="Calibri" w:cs="Arial"/>
          <w:b/>
          <w:bCs/>
          <w:kern w:val="2"/>
          <w:lang w:eastAsia="en-US"/>
          <w14:ligatures w14:val="standardContextual"/>
        </w:rPr>
        <w:t>beim Einkauf einen Beleg einer Registrierkasse</w:t>
      </w:r>
      <w:r w:rsidRPr="00B26ECE">
        <w:rPr>
          <w:rFonts w:eastAsia="Calibri" w:cs="Arial"/>
          <w:kern w:val="2"/>
          <w:lang w:eastAsia="en-US"/>
          <w14:ligatures w14:val="standardContextual"/>
        </w:rPr>
        <w:t xml:space="preserve"> erhalten hat, mit diesem Beleg an einer vom Finanzminister ab </w:t>
      </w:r>
      <w:r w:rsidRPr="00B26ECE">
        <w:rPr>
          <w:rFonts w:eastAsia="Calibri" w:cs="Arial"/>
          <w:b/>
          <w:bCs/>
          <w:kern w:val="2"/>
          <w:lang w:eastAsia="en-US"/>
          <w14:ligatures w14:val="standardContextual"/>
        </w:rPr>
        <w:t>1. Oktober 2026</w:t>
      </w:r>
      <w:r w:rsidRPr="00B26ECE">
        <w:rPr>
          <w:rFonts w:eastAsia="Calibri" w:cs="Arial"/>
          <w:kern w:val="2"/>
          <w:lang w:eastAsia="en-US"/>
          <w14:ligatures w14:val="standardContextual"/>
        </w:rPr>
        <w:t xml:space="preserve"> veranstalteten Lotterie teilnehmen können. Die Teilnahme ist freiwillig und erfolgt, indem der Teilnehmer über die </w:t>
      </w:r>
      <w:proofErr w:type="spellStart"/>
      <w:r w:rsidRPr="00B26ECE">
        <w:rPr>
          <w:rFonts w:eastAsia="Calibri" w:cs="Arial"/>
          <w:kern w:val="2"/>
          <w:lang w:eastAsia="en-US"/>
          <w14:ligatures w14:val="standardContextual"/>
        </w:rPr>
        <w:t>FinanzOnline</w:t>
      </w:r>
      <w:proofErr w:type="spellEnd"/>
      <w:r w:rsidRPr="00B26ECE">
        <w:rPr>
          <w:rFonts w:eastAsia="Calibri" w:cs="Arial"/>
          <w:kern w:val="2"/>
          <w:lang w:eastAsia="en-US"/>
          <w14:ligatures w14:val="standardContextual"/>
        </w:rPr>
        <w:t xml:space="preserve"> App am Handy den maschinenlesbaren Code des </w:t>
      </w:r>
      <w:proofErr w:type="spellStart"/>
      <w:r w:rsidRPr="00B26ECE">
        <w:rPr>
          <w:rFonts w:eastAsia="Calibri" w:cs="Arial"/>
          <w:kern w:val="2"/>
          <w:lang w:eastAsia="en-US"/>
          <w14:ligatures w14:val="standardContextual"/>
        </w:rPr>
        <w:t>Kassabons</w:t>
      </w:r>
      <w:proofErr w:type="spellEnd"/>
      <w:r w:rsidRPr="00B26ECE">
        <w:rPr>
          <w:rFonts w:eastAsia="Calibri" w:cs="Arial"/>
          <w:kern w:val="2"/>
          <w:lang w:eastAsia="en-US"/>
          <w14:ligatures w14:val="standardContextual"/>
        </w:rPr>
        <w:t xml:space="preserve"> an das BMF übermittelt. </w:t>
      </w:r>
    </w:p>
    <w:p w14:paraId="303C2153" w14:textId="77777777" w:rsidR="00B26ECE" w:rsidRDefault="00B26ECE" w:rsidP="000A461F">
      <w:pPr>
        <w:spacing w:line="276" w:lineRule="auto"/>
        <w:jc w:val="both"/>
        <w:rPr>
          <w:rFonts w:eastAsia="Calibri" w:cs="Arial"/>
          <w:kern w:val="2"/>
          <w:lang w:eastAsia="en-US"/>
          <w14:ligatures w14:val="standardContextual"/>
        </w:rPr>
      </w:pPr>
      <w:r w:rsidRPr="00B26ECE">
        <w:rPr>
          <w:rFonts w:eastAsia="Calibri" w:cs="Arial"/>
          <w:kern w:val="2"/>
          <w:lang w:eastAsia="en-US"/>
          <w14:ligatures w14:val="standardContextual"/>
        </w:rPr>
        <w:t>Sodann sollen in jedem Kalendermonat aus den übermittelten Codes 100 Teilnehmer zufallsbasiert als Gewinner ausgewählt werden. In der Auswahl des jeweiligen Kalendermonats werden alle Codes berücksichtigt, die im Vormonat ausgestellt und der App übermittelt wurden. Als Preis soll pro Gewinner ein Betrag von € 2.500 gewährt werden.</w:t>
      </w:r>
    </w:p>
    <w:p w14:paraId="1FB2CFBD" w14:textId="77777777" w:rsidR="000A461F" w:rsidRPr="00B26ECE" w:rsidRDefault="000A461F" w:rsidP="000A461F">
      <w:pPr>
        <w:spacing w:line="276" w:lineRule="auto"/>
        <w:jc w:val="both"/>
        <w:rPr>
          <w:rFonts w:eastAsia="Calibri" w:cs="Arial"/>
          <w:kern w:val="2"/>
          <w:lang w:eastAsia="en-US"/>
          <w14:ligatures w14:val="standardContextual"/>
        </w:rPr>
      </w:pPr>
    </w:p>
    <w:p w14:paraId="63001881" w14:textId="77777777" w:rsidR="00DD4216" w:rsidRPr="00F463E1" w:rsidRDefault="00DD4216" w:rsidP="00F1173A">
      <w:pPr>
        <w:pStyle w:val="berschrift2"/>
      </w:pPr>
      <w:r>
        <w:t xml:space="preserve">Halbierung </w:t>
      </w:r>
      <w:r w:rsidRPr="00F463E1">
        <w:t>der Mehrwertsteuer für bestimmte Lebensmittel</w:t>
      </w:r>
    </w:p>
    <w:p w14:paraId="4D964941" w14:textId="5D115EA8" w:rsidR="00DD4216" w:rsidRPr="00F463E1" w:rsidRDefault="00DD4216" w:rsidP="00DD4216">
      <w:pPr>
        <w:spacing w:line="276" w:lineRule="auto"/>
        <w:jc w:val="both"/>
        <w:rPr>
          <w:rFonts w:cs="Arial"/>
          <w:bCs/>
          <w:lang w:eastAsia="de-AT"/>
        </w:rPr>
      </w:pPr>
      <w:r w:rsidRPr="00F463E1">
        <w:rPr>
          <w:rFonts w:cs="Arial"/>
          <w:lang w:eastAsia="de-AT"/>
        </w:rPr>
        <w:t xml:space="preserve">Die Bundesregierung bereitet ein Gesetz vor, mit dem die </w:t>
      </w:r>
      <w:r w:rsidRPr="00F463E1">
        <w:rPr>
          <w:rFonts w:cs="Arial"/>
          <w:b/>
          <w:bCs/>
          <w:lang w:eastAsia="de-AT"/>
        </w:rPr>
        <w:t xml:space="preserve">Mehrwertsteuer auf bestimmte Grundnahrungsmittel </w:t>
      </w:r>
      <w:r w:rsidRPr="003C0D2F">
        <w:rPr>
          <w:rFonts w:cs="Arial"/>
          <w:b/>
          <w:lang w:eastAsia="de-AT"/>
        </w:rPr>
        <w:t>ab 1. Juli 2026</w:t>
      </w:r>
      <w:r w:rsidRPr="00F463E1">
        <w:rPr>
          <w:rFonts w:cs="Arial"/>
          <w:b/>
          <w:bCs/>
          <w:lang w:eastAsia="de-AT"/>
        </w:rPr>
        <w:t xml:space="preserve"> </w:t>
      </w:r>
      <w:r w:rsidR="004E07E9" w:rsidRPr="004E07E9">
        <w:rPr>
          <w:rFonts w:cs="Arial"/>
          <w:lang w:eastAsia="de-AT"/>
        </w:rPr>
        <w:t>(mehr als)</w:t>
      </w:r>
      <w:r w:rsidR="004E07E9">
        <w:rPr>
          <w:rFonts w:cs="Arial"/>
          <w:lang w:eastAsia="de-AT"/>
        </w:rPr>
        <w:t xml:space="preserve"> </w:t>
      </w:r>
      <w:r w:rsidRPr="00F463E1">
        <w:rPr>
          <w:rFonts w:cs="Arial"/>
          <w:bCs/>
          <w:lang w:eastAsia="de-AT"/>
        </w:rPr>
        <w:t xml:space="preserve">halbiert, nämlich auf </w:t>
      </w:r>
      <w:r w:rsidRPr="00F463E1">
        <w:rPr>
          <w:rFonts w:cs="Arial"/>
          <w:b/>
          <w:lang w:eastAsia="de-AT"/>
        </w:rPr>
        <w:t>4,9</w:t>
      </w:r>
      <w:r>
        <w:rPr>
          <w:rFonts w:cs="Arial"/>
          <w:b/>
          <w:lang w:eastAsia="de-AT"/>
        </w:rPr>
        <w:t> </w:t>
      </w:r>
      <w:r w:rsidRPr="00F463E1">
        <w:rPr>
          <w:rFonts w:cs="Arial"/>
          <w:b/>
          <w:lang w:eastAsia="de-AT"/>
        </w:rPr>
        <w:t>%</w:t>
      </w:r>
      <w:r w:rsidRPr="00F463E1">
        <w:rPr>
          <w:rFonts w:cs="Arial"/>
          <w:bCs/>
          <w:lang w:eastAsia="de-AT"/>
        </w:rPr>
        <w:t xml:space="preserve"> </w:t>
      </w:r>
      <w:r>
        <w:rPr>
          <w:rFonts w:cs="Arial"/>
          <w:bCs/>
          <w:lang w:eastAsia="de-AT"/>
        </w:rPr>
        <w:t xml:space="preserve">dauerhaft </w:t>
      </w:r>
      <w:r w:rsidRPr="00F463E1">
        <w:rPr>
          <w:rFonts w:cs="Arial"/>
          <w:bCs/>
          <w:lang w:eastAsia="de-AT"/>
        </w:rPr>
        <w:t xml:space="preserve">abgesenkt wird. </w:t>
      </w:r>
      <w:r w:rsidRPr="00F463E1">
        <w:rPr>
          <w:rFonts w:cs="Arial"/>
        </w:rPr>
        <w:t xml:space="preserve">Diese </w:t>
      </w:r>
      <w:proofErr w:type="spellStart"/>
      <w:r w:rsidRPr="00F463E1">
        <w:rPr>
          <w:rFonts w:cs="Arial"/>
        </w:rPr>
        <w:t>MwSt</w:t>
      </w:r>
      <w:proofErr w:type="spellEnd"/>
      <w:r w:rsidRPr="00F463E1">
        <w:rPr>
          <w:rFonts w:cs="Arial"/>
        </w:rPr>
        <w:t>-Senkung soll das Budget pro Jahr €</w:t>
      </w:r>
      <w:r>
        <w:rPr>
          <w:rFonts w:cs="Arial"/>
        </w:rPr>
        <w:t> </w:t>
      </w:r>
      <w:r w:rsidRPr="00F463E1">
        <w:rPr>
          <w:rFonts w:cs="Arial"/>
        </w:rPr>
        <w:t>400</w:t>
      </w:r>
      <w:r>
        <w:rPr>
          <w:rFonts w:cs="Arial"/>
        </w:rPr>
        <w:t> </w:t>
      </w:r>
      <w:r w:rsidRPr="00F463E1">
        <w:rPr>
          <w:rFonts w:cs="Arial"/>
        </w:rPr>
        <w:t>Mio</w:t>
      </w:r>
      <w:r>
        <w:rPr>
          <w:rFonts w:cs="Arial"/>
        </w:rPr>
        <w:t>.</w:t>
      </w:r>
      <w:r w:rsidRPr="00F463E1">
        <w:rPr>
          <w:rFonts w:cs="Arial"/>
        </w:rPr>
        <w:t xml:space="preserve"> (für 2026: €</w:t>
      </w:r>
      <w:r>
        <w:rPr>
          <w:rFonts w:cs="Arial"/>
        </w:rPr>
        <w:t> </w:t>
      </w:r>
      <w:r w:rsidRPr="00F463E1">
        <w:rPr>
          <w:rFonts w:cs="Arial"/>
        </w:rPr>
        <w:t>200</w:t>
      </w:r>
      <w:r>
        <w:rPr>
          <w:rFonts w:cs="Arial"/>
        </w:rPr>
        <w:t> </w:t>
      </w:r>
      <w:r w:rsidRPr="00F463E1">
        <w:rPr>
          <w:rFonts w:cs="Arial"/>
        </w:rPr>
        <w:t>Mio</w:t>
      </w:r>
      <w:r>
        <w:rPr>
          <w:rFonts w:cs="Arial"/>
        </w:rPr>
        <w:t>.</w:t>
      </w:r>
      <w:r w:rsidRPr="00F463E1">
        <w:rPr>
          <w:rFonts w:cs="Arial"/>
        </w:rPr>
        <w:t xml:space="preserve">) kosten. </w:t>
      </w:r>
      <w:r w:rsidRPr="00F463E1">
        <w:rPr>
          <w:rFonts w:cs="Arial"/>
          <w:lang w:eastAsia="de-AT"/>
        </w:rPr>
        <w:t xml:space="preserve">Der Lebensmittelhandel muss die Steuersenkung an die Konsumenten weitergeben. </w:t>
      </w:r>
      <w:r w:rsidRPr="00F463E1">
        <w:rPr>
          <w:rFonts w:cs="Arial"/>
        </w:rPr>
        <w:t>Die Gegenf</w:t>
      </w:r>
      <w:r w:rsidRPr="00F463E1">
        <w:rPr>
          <w:rFonts w:cs="Arial"/>
          <w:lang w:eastAsia="de-AT"/>
        </w:rPr>
        <w:t xml:space="preserve">inanzierung der </w:t>
      </w:r>
      <w:proofErr w:type="spellStart"/>
      <w:r w:rsidRPr="00F463E1">
        <w:rPr>
          <w:rFonts w:cs="Arial"/>
          <w:lang w:eastAsia="de-AT"/>
        </w:rPr>
        <w:t>MwSt</w:t>
      </w:r>
      <w:proofErr w:type="spellEnd"/>
      <w:r w:rsidRPr="00F463E1">
        <w:rPr>
          <w:rFonts w:cs="Arial"/>
          <w:lang w:eastAsia="de-AT"/>
        </w:rPr>
        <w:t>-Senkung soll</w:t>
      </w:r>
      <w:r>
        <w:rPr>
          <w:rFonts w:cs="Arial"/>
          <w:lang w:eastAsia="de-AT"/>
        </w:rPr>
        <w:t xml:space="preserve"> </w:t>
      </w:r>
      <w:r w:rsidRPr="00F463E1">
        <w:rPr>
          <w:rFonts w:cs="Arial"/>
          <w:lang w:eastAsia="de-AT"/>
        </w:rPr>
        <w:t xml:space="preserve">über eine Steuer auf </w:t>
      </w:r>
      <w:r w:rsidRPr="00F463E1">
        <w:rPr>
          <w:rFonts w:cs="Arial"/>
          <w:b/>
          <w:bCs/>
          <w:lang w:eastAsia="de-AT"/>
        </w:rPr>
        <w:t>nicht recycelbares Plastik</w:t>
      </w:r>
      <w:r w:rsidRPr="00F463E1">
        <w:rPr>
          <w:rFonts w:cs="Arial"/>
          <w:lang w:eastAsia="de-AT"/>
        </w:rPr>
        <w:t xml:space="preserve"> sowie eine </w:t>
      </w:r>
      <w:r w:rsidRPr="00F463E1">
        <w:rPr>
          <w:rFonts w:cs="Arial"/>
          <w:b/>
          <w:bCs/>
          <w:lang w:eastAsia="de-AT"/>
        </w:rPr>
        <w:t>Paketabgabe</w:t>
      </w:r>
      <w:r w:rsidRPr="00F463E1">
        <w:rPr>
          <w:rFonts w:cs="Arial"/>
          <w:lang w:eastAsia="de-AT"/>
        </w:rPr>
        <w:t xml:space="preserve"> für Sendungen aus Drittstaaten </w:t>
      </w:r>
      <w:r w:rsidR="000B58FA">
        <w:rPr>
          <w:rFonts w:cs="Arial"/>
          <w:lang w:eastAsia="de-AT"/>
        </w:rPr>
        <w:t xml:space="preserve">in die </w:t>
      </w:r>
      <w:r w:rsidRPr="00F463E1">
        <w:rPr>
          <w:rFonts w:cs="Arial"/>
          <w:lang w:eastAsia="de-AT"/>
        </w:rPr>
        <w:t xml:space="preserve">EU erfolgen. </w:t>
      </w:r>
      <w:r w:rsidRPr="00F463E1">
        <w:rPr>
          <w:rFonts w:cs="Arial"/>
          <w:bCs/>
          <w:lang w:eastAsia="de-AT"/>
        </w:rPr>
        <w:t xml:space="preserve">Die </w:t>
      </w:r>
      <w:r w:rsidRPr="00F463E1">
        <w:rPr>
          <w:rFonts w:cs="Arial"/>
          <w:b/>
          <w:lang w:eastAsia="de-AT"/>
        </w:rPr>
        <w:t>exakte Liste an mehrwertsteuer-begünstigten Lebensmitteln</w:t>
      </w:r>
      <w:r w:rsidRPr="00F463E1">
        <w:rPr>
          <w:rFonts w:cs="Arial"/>
          <w:bCs/>
          <w:lang w:eastAsia="de-AT"/>
        </w:rPr>
        <w:t xml:space="preserve"> wurde im Ministerrat vom 28.1.2026 beschlossen und umfasst folgende Produkte</w:t>
      </w:r>
      <w:r>
        <w:rPr>
          <w:rFonts w:cs="Arial"/>
          <w:bCs/>
          <w:lang w:eastAsia="de-AT"/>
        </w:rPr>
        <w:t>:</w:t>
      </w:r>
    </w:p>
    <w:p w14:paraId="198511E4" w14:textId="77777777" w:rsidR="00DD4216" w:rsidRPr="001E0EBF" w:rsidRDefault="00DD4216" w:rsidP="001E0EBF">
      <w:pPr>
        <w:pStyle w:val="AufzhlungenKlifonichtfett"/>
        <w:rPr>
          <w:b/>
          <w:bCs/>
        </w:rPr>
      </w:pPr>
      <w:r w:rsidRPr="001E0EBF">
        <w:rPr>
          <w:b/>
          <w:bCs/>
        </w:rPr>
        <w:t>Milch, Butter, Joghurt, frische Eier</w:t>
      </w:r>
    </w:p>
    <w:p w14:paraId="210C120D" w14:textId="77777777" w:rsidR="00DD4216" w:rsidRDefault="00DD4216" w:rsidP="001E0EBF">
      <w:pPr>
        <w:pStyle w:val="AufzhlungenKlifonichtfett"/>
      </w:pPr>
      <w:r w:rsidRPr="00F463E1">
        <w:rPr>
          <w:b/>
        </w:rPr>
        <w:t>Gemüse</w:t>
      </w:r>
      <w:r w:rsidRPr="00F463E1">
        <w:t xml:space="preserve">: Kartoffeln, Paradeiser, Speisezwiebel, Knoblauch und Lauch sowie anderes Lauchgemüse, Kohl, Blumenkohl/Karfiol, Kohlrabi und andere Kohlarten, Salate, Karotten, Rüben und Knollensellerie, Gurken, Bohnen, Erbsen und andere Hülsenfrüchte; Kürbis, Auberginen/Melanzani, Paprika </w:t>
      </w:r>
      <w:r>
        <w:t>und</w:t>
      </w:r>
      <w:r w:rsidRPr="00F463E1">
        <w:t xml:space="preserve"> Spargel;</w:t>
      </w:r>
      <w:r>
        <w:t xml:space="preserve"> </w:t>
      </w:r>
    </w:p>
    <w:p w14:paraId="671D355E" w14:textId="77777777" w:rsidR="00DD4216" w:rsidRPr="00F463E1" w:rsidRDefault="00DD4216" w:rsidP="001E0EBF">
      <w:pPr>
        <w:pStyle w:val="AufzhlungenKlifonichtfett"/>
      </w:pPr>
      <w:r w:rsidRPr="009E5868">
        <w:rPr>
          <w:b/>
          <w:bCs/>
        </w:rPr>
        <w:t>Gemüse gefroren</w:t>
      </w:r>
      <w:r w:rsidRPr="00F463E1">
        <w:t xml:space="preserve"> (</w:t>
      </w:r>
      <w:r>
        <w:t>z.B.</w:t>
      </w:r>
      <w:r w:rsidRPr="00F463E1">
        <w:t xml:space="preserve"> Erbsen, Spinat);</w:t>
      </w:r>
    </w:p>
    <w:p w14:paraId="66953D46" w14:textId="77777777" w:rsidR="00DD4216" w:rsidRPr="00F463E1" w:rsidRDefault="00DD4216" w:rsidP="001E0EBF">
      <w:pPr>
        <w:pStyle w:val="AufzhlungenKlifonichtfett"/>
      </w:pPr>
      <w:r w:rsidRPr="00F463E1">
        <w:rPr>
          <w:b/>
        </w:rPr>
        <w:t xml:space="preserve">Obst: </w:t>
      </w:r>
      <w:r w:rsidRPr="00F463E1">
        <w:t>Äpfel, Birnen, Quitten frisch, Steinobst frisch (</w:t>
      </w:r>
      <w:r>
        <w:t xml:space="preserve">z.B. </w:t>
      </w:r>
      <w:r w:rsidRPr="00F463E1">
        <w:t>Marillen, Kirschen, Pfirsiche, Pflaumen/Zwetschken);</w:t>
      </w:r>
    </w:p>
    <w:p w14:paraId="065C9660" w14:textId="77777777" w:rsidR="00DD4216" w:rsidRPr="00F463E1" w:rsidRDefault="00DD4216" w:rsidP="001E0EBF">
      <w:pPr>
        <w:pStyle w:val="AufzhlungenKlifonichtfett"/>
      </w:pPr>
      <w:r w:rsidRPr="00F463E1">
        <w:rPr>
          <w:b/>
        </w:rPr>
        <w:t>Getreide</w:t>
      </w:r>
      <w:r w:rsidRPr="00F463E1">
        <w:t xml:space="preserve"> </w:t>
      </w:r>
      <w:r w:rsidRPr="00F463E1">
        <w:rPr>
          <w:b/>
        </w:rPr>
        <w:t>und Backwaren</w:t>
      </w:r>
      <w:r w:rsidRPr="00F463E1">
        <w:t>: Reis, Weizenmehl und Weizengrieß, Nudeln (ohne Füllung),</w:t>
      </w:r>
      <w:r>
        <w:t xml:space="preserve"> </w:t>
      </w:r>
      <w:r w:rsidRPr="00F463E1">
        <w:t>Brot und Gebäck (Semmel, Mohnflesserl, Salzstangerl etc</w:t>
      </w:r>
      <w:r>
        <w:t>.</w:t>
      </w:r>
      <w:r w:rsidRPr="00F463E1">
        <w:t>, inklusive glutenfreies Brot);</w:t>
      </w:r>
    </w:p>
    <w:p w14:paraId="2901A297" w14:textId="77777777" w:rsidR="00DD4216" w:rsidRPr="001E0EBF" w:rsidRDefault="00DD4216" w:rsidP="001E0EBF">
      <w:pPr>
        <w:pStyle w:val="AufzhlungenKlifonichtfett"/>
        <w:rPr>
          <w:b/>
          <w:bCs/>
        </w:rPr>
      </w:pPr>
      <w:r w:rsidRPr="001E0EBF">
        <w:rPr>
          <w:b/>
          <w:bCs/>
        </w:rPr>
        <w:t>Speisesalz.</w:t>
      </w:r>
    </w:p>
    <w:p w14:paraId="62707C07" w14:textId="77777777" w:rsidR="00A61CD5" w:rsidRPr="00A61CD5" w:rsidRDefault="00A61CD5" w:rsidP="00E25976">
      <w:pPr>
        <w:spacing w:line="276" w:lineRule="auto"/>
        <w:contextualSpacing/>
        <w:jc w:val="both"/>
        <w:rPr>
          <w:rFonts w:cs="Arial"/>
        </w:rPr>
      </w:pPr>
    </w:p>
    <w:p w14:paraId="4E565559" w14:textId="33FF7C2D" w:rsidR="00163255" w:rsidRPr="00CE55D5" w:rsidRDefault="00F1173A" w:rsidP="00BB6D2E">
      <w:pPr>
        <w:pStyle w:val="berschrift1"/>
        <w:rPr>
          <w:color w:val="004077"/>
          <w:sz w:val="22"/>
          <w:szCs w:val="22"/>
        </w:rPr>
      </w:pPr>
      <w:bookmarkStart w:id="13" w:name="_Toc220955346"/>
      <w:r w:rsidRPr="00CE55D5">
        <w:rPr>
          <w:color w:val="004077"/>
          <w:sz w:val="22"/>
          <w:szCs w:val="22"/>
        </w:rPr>
        <w:lastRenderedPageBreak/>
        <w:t>NEUES ZUM HOMEOFFICE ALS BETRIEBSSTÄTTE</w:t>
      </w:r>
      <w:bookmarkEnd w:id="13"/>
      <w:r w:rsidRPr="00CE55D5">
        <w:rPr>
          <w:color w:val="004077"/>
          <w:sz w:val="22"/>
          <w:szCs w:val="22"/>
        </w:rPr>
        <w:t xml:space="preserve"> </w:t>
      </w:r>
    </w:p>
    <w:p w14:paraId="61152433" w14:textId="0ECFADB9" w:rsidR="00163255" w:rsidRPr="00B34178" w:rsidRDefault="00163255" w:rsidP="00163255">
      <w:pPr>
        <w:spacing w:line="276" w:lineRule="auto"/>
        <w:jc w:val="both"/>
        <w:rPr>
          <w:rFonts w:cs="Arial"/>
        </w:rPr>
      </w:pPr>
      <w:r w:rsidRPr="00B34178">
        <w:rPr>
          <w:rFonts w:cs="Arial"/>
        </w:rPr>
        <w:t>Wenn das Arbeitgeber-Unternehmen in eine</w:t>
      </w:r>
      <w:r w:rsidR="004E07E9">
        <w:rPr>
          <w:rFonts w:cs="Arial"/>
        </w:rPr>
        <w:t>m</w:t>
      </w:r>
      <w:r w:rsidRPr="00B34178">
        <w:rPr>
          <w:rFonts w:cs="Arial"/>
        </w:rPr>
        <w:t xml:space="preserve"> Staat ansässig ist, aber ein Arbeitnehmer </w:t>
      </w:r>
      <w:r w:rsidR="004E07E9">
        <w:rPr>
          <w:rFonts w:cs="Arial"/>
        </w:rPr>
        <w:t xml:space="preserve">in einem anderen Staat </w:t>
      </w:r>
      <w:r w:rsidRPr="00B34178">
        <w:rPr>
          <w:rFonts w:cs="Arial"/>
        </w:rPr>
        <w:t>im Home</w:t>
      </w:r>
      <w:r>
        <w:rPr>
          <w:rFonts w:cs="Arial"/>
        </w:rPr>
        <w:t>o</w:t>
      </w:r>
      <w:r w:rsidRPr="00B34178">
        <w:rPr>
          <w:rFonts w:cs="Arial"/>
        </w:rPr>
        <w:t>ffice</w:t>
      </w:r>
      <w:r w:rsidR="004E07E9">
        <w:rPr>
          <w:rFonts w:cs="Arial"/>
        </w:rPr>
        <w:t xml:space="preserve"> oder sonst in Telearbeit </w:t>
      </w:r>
      <w:r w:rsidRPr="00B34178">
        <w:rPr>
          <w:rFonts w:cs="Arial"/>
        </w:rPr>
        <w:t xml:space="preserve">arbeitet, ergeben sich steuerliche Problemstellungen. Bei grenzüberschreitender </w:t>
      </w:r>
      <w:r w:rsidR="004E07E9">
        <w:rPr>
          <w:rFonts w:cs="Arial"/>
        </w:rPr>
        <w:t>Telearbeit</w:t>
      </w:r>
      <w:r w:rsidRPr="00B34178">
        <w:rPr>
          <w:rFonts w:cs="Arial"/>
        </w:rPr>
        <w:t>-Tätigkeit ist zwischen der Besteuerung des Arbeitnehmers selbst und einer möglichen Homeoffice-</w:t>
      </w:r>
      <w:proofErr w:type="spellStart"/>
      <w:r w:rsidR="004E07E9">
        <w:rPr>
          <w:rFonts w:cs="Arial"/>
        </w:rPr>
        <w:t>bzw</w:t>
      </w:r>
      <w:proofErr w:type="spellEnd"/>
      <w:r w:rsidR="004E07E9">
        <w:rPr>
          <w:rFonts w:cs="Arial"/>
        </w:rPr>
        <w:t xml:space="preserve"> Telearbeit-</w:t>
      </w:r>
      <w:r w:rsidRPr="00B34178">
        <w:rPr>
          <w:rFonts w:cs="Arial"/>
        </w:rPr>
        <w:t>Betriebsstätte des Arbeitgeber</w:t>
      </w:r>
      <w:r w:rsidR="005F0C81">
        <w:rPr>
          <w:rFonts w:cs="Arial"/>
        </w:rPr>
        <w:t>-U</w:t>
      </w:r>
      <w:r w:rsidRPr="00B34178">
        <w:rPr>
          <w:rFonts w:cs="Arial"/>
        </w:rPr>
        <w:t>nternehmens zu unterscheiden.</w:t>
      </w:r>
    </w:p>
    <w:p w14:paraId="031AB5D0" w14:textId="77777777" w:rsidR="00163255" w:rsidRDefault="00163255" w:rsidP="00163255">
      <w:pPr>
        <w:spacing w:line="276" w:lineRule="auto"/>
        <w:jc w:val="both"/>
        <w:rPr>
          <w:rFonts w:cs="Arial"/>
          <w:b/>
          <w:bCs/>
        </w:rPr>
      </w:pPr>
    </w:p>
    <w:p w14:paraId="32BD94A6" w14:textId="70D08C19" w:rsidR="00163255" w:rsidRPr="00B34178" w:rsidRDefault="00163255" w:rsidP="00F1173A">
      <w:pPr>
        <w:pStyle w:val="berschrift2"/>
      </w:pPr>
      <w:r w:rsidRPr="00B34178">
        <w:t>Besteuerung des Arbeitnehmers</w:t>
      </w:r>
    </w:p>
    <w:p w14:paraId="2DFC84F7" w14:textId="76B45746" w:rsidR="00163255" w:rsidRDefault="00163255" w:rsidP="00163255">
      <w:pPr>
        <w:spacing w:line="276" w:lineRule="auto"/>
        <w:jc w:val="both"/>
        <w:rPr>
          <w:rFonts w:cs="Arial"/>
        </w:rPr>
      </w:pPr>
      <w:r w:rsidRPr="00B34178">
        <w:rPr>
          <w:rFonts w:cs="Arial"/>
        </w:rPr>
        <w:t xml:space="preserve">Besteht </w:t>
      </w:r>
      <w:r w:rsidRPr="00720E22">
        <w:rPr>
          <w:rFonts w:cs="Arial"/>
        </w:rPr>
        <w:t>kein DBA</w:t>
      </w:r>
      <w:r>
        <w:rPr>
          <w:rFonts w:cs="Arial"/>
          <w:b/>
          <w:bCs/>
        </w:rPr>
        <w:t xml:space="preserve"> </w:t>
      </w:r>
      <w:r w:rsidRPr="00B34178">
        <w:rPr>
          <w:rFonts w:cs="Arial"/>
        </w:rPr>
        <w:t xml:space="preserve">mit einer speziellen </w:t>
      </w:r>
      <w:r w:rsidRPr="00AB011D">
        <w:rPr>
          <w:rFonts w:cs="Arial"/>
          <w:b/>
          <w:bCs/>
        </w:rPr>
        <w:t>Grenzgänger-Regelung</w:t>
      </w:r>
      <w:r w:rsidRPr="00B34178">
        <w:rPr>
          <w:rFonts w:cs="Arial"/>
        </w:rPr>
        <w:t xml:space="preserve">, kommt grundsätzlich </w:t>
      </w:r>
      <w:r w:rsidR="005F0C81">
        <w:rPr>
          <w:rFonts w:cs="Arial"/>
        </w:rPr>
        <w:t>jenem</w:t>
      </w:r>
      <w:r w:rsidRPr="00B34178">
        <w:rPr>
          <w:rFonts w:cs="Arial"/>
        </w:rPr>
        <w:t xml:space="preserve"> Staat das Besteuerungsrecht zu, in dem die Arbeit ausgeübt wird. Die </w:t>
      </w:r>
      <w:r w:rsidRPr="00720E22">
        <w:rPr>
          <w:rFonts w:cs="Arial"/>
          <w:b/>
          <w:bCs/>
        </w:rPr>
        <w:t>Tage i</w:t>
      </w:r>
      <w:r w:rsidR="005F0C81">
        <w:rPr>
          <w:rFonts w:cs="Arial"/>
          <w:b/>
          <w:bCs/>
        </w:rPr>
        <w:t>n Telearbeit</w:t>
      </w:r>
      <w:r w:rsidRPr="00B34178">
        <w:rPr>
          <w:rFonts w:cs="Arial"/>
        </w:rPr>
        <w:t xml:space="preserve"> </w:t>
      </w:r>
      <w:r w:rsidR="005F0C81">
        <w:rPr>
          <w:rFonts w:cs="Arial"/>
        </w:rPr>
        <w:t xml:space="preserve">in einem anderen Staat als dem Arbeitgeberstaat </w:t>
      </w:r>
      <w:r w:rsidRPr="00B34178">
        <w:rPr>
          <w:rFonts w:cs="Arial"/>
        </w:rPr>
        <w:t xml:space="preserve">sind somit dem </w:t>
      </w:r>
      <w:r w:rsidR="005F0C81">
        <w:rPr>
          <w:rFonts w:cs="Arial"/>
        </w:rPr>
        <w:t xml:space="preserve">Staat zuzuordnen, in dem die Telearbeit erbracht wird, bei Telearbeit im Homeoffice des Arbeitnehmers ist das der </w:t>
      </w:r>
      <w:r w:rsidRPr="00720E22">
        <w:rPr>
          <w:rFonts w:cs="Arial"/>
          <w:b/>
          <w:bCs/>
        </w:rPr>
        <w:t>Ansässigkeitsstaat des Arbeitnehmer</w:t>
      </w:r>
      <w:r w:rsidR="001A1525">
        <w:rPr>
          <w:rFonts w:cs="Arial"/>
          <w:b/>
          <w:bCs/>
        </w:rPr>
        <w:t>s</w:t>
      </w:r>
      <w:r w:rsidRPr="00B34178">
        <w:rPr>
          <w:rFonts w:cs="Arial"/>
        </w:rPr>
        <w:t xml:space="preserve">. </w:t>
      </w:r>
    </w:p>
    <w:p w14:paraId="4B85CE59" w14:textId="77777777" w:rsidR="00163255" w:rsidRDefault="00163255" w:rsidP="00163255">
      <w:pPr>
        <w:spacing w:line="276" w:lineRule="auto"/>
        <w:jc w:val="both"/>
        <w:rPr>
          <w:rFonts w:cs="Arial"/>
        </w:rPr>
      </w:pPr>
    </w:p>
    <w:p w14:paraId="674A0545" w14:textId="77777777" w:rsidR="00163255"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BB0ECC">
        <w:rPr>
          <w:rFonts w:cs="Arial"/>
          <w:b/>
          <w:bCs/>
          <w:i/>
          <w:iCs/>
        </w:rPr>
        <w:t>Beispiel</w:t>
      </w:r>
      <w:r w:rsidRPr="00CB63AC">
        <w:rPr>
          <w:rFonts w:cs="Arial"/>
          <w:i/>
          <w:iCs/>
        </w:rPr>
        <w:t xml:space="preserve">: </w:t>
      </w:r>
    </w:p>
    <w:p w14:paraId="1DB91936" w14:textId="7E694C1D" w:rsidR="00163255" w:rsidRPr="00CB63AC"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CB63AC">
        <w:rPr>
          <w:rFonts w:cs="Arial"/>
          <w:i/>
          <w:iCs/>
        </w:rPr>
        <w:t>Wenn ein in Linz ansässiger Steuerpflichtiger bei einem Unternehmen in München beschäftigt ist und drei der fünf Arbeitstage pro Woche i</w:t>
      </w:r>
      <w:r w:rsidR="005F0C81">
        <w:rPr>
          <w:rFonts w:cs="Arial"/>
          <w:i/>
          <w:iCs/>
        </w:rPr>
        <w:t>n seiner Privatwohnung</w:t>
      </w:r>
      <w:r w:rsidRPr="00CB63AC">
        <w:rPr>
          <w:rFonts w:cs="Arial"/>
          <w:i/>
          <w:iCs/>
        </w:rPr>
        <w:t xml:space="preserve"> in Linz </w:t>
      </w:r>
      <w:r w:rsidR="005F0C81">
        <w:rPr>
          <w:rFonts w:cs="Arial"/>
          <w:i/>
          <w:iCs/>
        </w:rPr>
        <w:t>in Telearbeit verbringt</w:t>
      </w:r>
      <w:r w:rsidRPr="00CB63AC">
        <w:rPr>
          <w:rFonts w:cs="Arial"/>
          <w:i/>
          <w:iCs/>
        </w:rPr>
        <w:t xml:space="preserve">, sind 3/5 der nichtselbständigen Einkünfte im Ansässigkeitsstaat (Österreich) zu versteuern. </w:t>
      </w:r>
    </w:p>
    <w:p w14:paraId="6108EABB" w14:textId="77777777" w:rsidR="00163255" w:rsidRDefault="00163255" w:rsidP="00163255">
      <w:pPr>
        <w:spacing w:line="276" w:lineRule="auto"/>
        <w:jc w:val="both"/>
        <w:rPr>
          <w:rFonts w:cs="Arial"/>
          <w:b/>
          <w:bCs/>
        </w:rPr>
      </w:pPr>
    </w:p>
    <w:p w14:paraId="2E21F807" w14:textId="796A8873" w:rsidR="00163255" w:rsidRPr="00B34178" w:rsidRDefault="00163255" w:rsidP="00F1173A">
      <w:pPr>
        <w:pStyle w:val="berschrift2"/>
      </w:pPr>
      <w:r w:rsidRPr="00B34178">
        <w:t>Besteuerung des Arbeitgeber-Unternehmens</w:t>
      </w:r>
    </w:p>
    <w:p w14:paraId="6834F431" w14:textId="329CE772" w:rsidR="00163255" w:rsidRPr="00B34178" w:rsidRDefault="00163255" w:rsidP="00163255">
      <w:pPr>
        <w:spacing w:line="276" w:lineRule="auto"/>
        <w:jc w:val="both"/>
        <w:rPr>
          <w:rFonts w:cs="Arial"/>
        </w:rPr>
      </w:pPr>
      <w:r w:rsidRPr="00B34178">
        <w:rPr>
          <w:rFonts w:cs="Arial"/>
        </w:rPr>
        <w:t xml:space="preserve">Für das Arbeitgeber-Unternehmen besteht bei grenzüberschreitender </w:t>
      </w:r>
      <w:r w:rsidR="005F0C81">
        <w:rPr>
          <w:rFonts w:cs="Arial"/>
        </w:rPr>
        <w:t>Telearbeit</w:t>
      </w:r>
      <w:r w:rsidRPr="00B34178">
        <w:rPr>
          <w:rFonts w:cs="Arial"/>
        </w:rPr>
        <w:t xml:space="preserve"> das </w:t>
      </w:r>
      <w:r w:rsidRPr="00AB011D">
        <w:rPr>
          <w:rFonts w:cs="Arial"/>
          <w:b/>
          <w:bCs/>
        </w:rPr>
        <w:t>Risiko</w:t>
      </w:r>
      <w:r w:rsidR="005F0C81">
        <w:rPr>
          <w:rFonts w:cs="Arial"/>
          <w:b/>
          <w:bCs/>
        </w:rPr>
        <w:t xml:space="preserve">, dass das Homeoffice des Arbeitnehmers oder ein anderer fester Raum, in welchem Telearbeit erbracht wird, eine weitere </w:t>
      </w:r>
      <w:r w:rsidRPr="00AB011D">
        <w:rPr>
          <w:rFonts w:cs="Arial"/>
          <w:b/>
          <w:bCs/>
        </w:rPr>
        <w:t>Betriebsstätte</w:t>
      </w:r>
      <w:r w:rsidR="005F0C81">
        <w:rPr>
          <w:rFonts w:cs="Arial"/>
          <w:b/>
          <w:bCs/>
        </w:rPr>
        <w:t xml:space="preserve"> des Arbeitgebers werden kann,</w:t>
      </w:r>
      <w:r w:rsidRPr="00B34178">
        <w:rPr>
          <w:rFonts w:cs="Arial"/>
        </w:rPr>
        <w:t xml:space="preserve"> wodurch ein (kleiner) Teil des Unternehmensgewinns im Staat </w:t>
      </w:r>
      <w:r w:rsidR="005F0C81">
        <w:rPr>
          <w:rFonts w:cs="Arial"/>
        </w:rPr>
        <w:t>dieser Betriebsstätte</w:t>
      </w:r>
      <w:r w:rsidRPr="00B34178">
        <w:rPr>
          <w:rFonts w:cs="Arial"/>
        </w:rPr>
        <w:t xml:space="preserve"> </w:t>
      </w:r>
      <w:r w:rsidR="005F0C81">
        <w:rPr>
          <w:rFonts w:cs="Arial"/>
        </w:rPr>
        <w:t xml:space="preserve">(beim Homeoffice Wohnsitzstaat des </w:t>
      </w:r>
      <w:r w:rsidRPr="00B34178">
        <w:rPr>
          <w:rFonts w:cs="Arial"/>
        </w:rPr>
        <w:t>Arbeitnehmers</w:t>
      </w:r>
      <w:r w:rsidR="005F0C81">
        <w:rPr>
          <w:rFonts w:cs="Arial"/>
        </w:rPr>
        <w:t>)</w:t>
      </w:r>
      <w:r w:rsidRPr="00B34178">
        <w:rPr>
          <w:rFonts w:cs="Arial"/>
        </w:rPr>
        <w:t xml:space="preserve"> steuerpflichtig wird. Die Finanzverwaltung hat bisher ein</w:t>
      </w:r>
      <w:r w:rsidR="005F0C81">
        <w:rPr>
          <w:rFonts w:cs="Arial"/>
        </w:rPr>
        <w:t xml:space="preserve"> Homeoffice des Arbeitnehmers nur dann als </w:t>
      </w:r>
      <w:r w:rsidRPr="00B34178">
        <w:rPr>
          <w:rFonts w:cs="Arial"/>
        </w:rPr>
        <w:t>e</w:t>
      </w:r>
      <w:r w:rsidR="005F0C81">
        <w:rPr>
          <w:rFonts w:cs="Arial"/>
        </w:rPr>
        <w:t>ine</w:t>
      </w:r>
      <w:r w:rsidRPr="00B34178">
        <w:rPr>
          <w:rFonts w:cs="Arial"/>
        </w:rPr>
        <w:t xml:space="preserve"> Betriebsstätte angenommen, wenn eine faktische Verfügungsmacht des Arbeitgebers </w:t>
      </w:r>
      <w:r w:rsidR="007C5CD8">
        <w:rPr>
          <w:rFonts w:cs="Arial"/>
        </w:rPr>
        <w:t>gegeben war</w:t>
      </w:r>
      <w:r w:rsidRPr="00B34178">
        <w:rPr>
          <w:rFonts w:cs="Arial"/>
        </w:rPr>
        <w:t xml:space="preserve">. Keine faktische Verfügungsmacht des Arbeitgebers über </w:t>
      </w:r>
      <w:r w:rsidR="005F0C81">
        <w:rPr>
          <w:rFonts w:cs="Arial"/>
        </w:rPr>
        <w:t xml:space="preserve">die Wohnung des Arbeitnehmers als </w:t>
      </w:r>
      <w:r w:rsidRPr="00B34178">
        <w:rPr>
          <w:rFonts w:cs="Arial"/>
        </w:rPr>
        <w:t xml:space="preserve">eine inländische feste örtliche Einrichtung </w:t>
      </w:r>
      <w:r w:rsidR="005F0C81">
        <w:rPr>
          <w:rFonts w:cs="Arial"/>
        </w:rPr>
        <w:t xml:space="preserve">des Arbeitgebers </w:t>
      </w:r>
      <w:r w:rsidRPr="00B34178">
        <w:rPr>
          <w:rFonts w:cs="Arial"/>
        </w:rPr>
        <w:t xml:space="preserve">wurde im Normalfall angenommen, wenn der Arbeitgeber vom Mitarbeiter die Tätigkeit im Homeoffice nicht verlangt, sondern dem Mitarbeiter </w:t>
      </w:r>
      <w:r w:rsidR="007C5CD8">
        <w:rPr>
          <w:rFonts w:cs="Arial"/>
        </w:rPr>
        <w:t xml:space="preserve">im Betrieb </w:t>
      </w:r>
      <w:r w:rsidRPr="00B34178">
        <w:rPr>
          <w:rFonts w:cs="Arial"/>
        </w:rPr>
        <w:t xml:space="preserve">einen Arbeitsplatz zur ständigen Benutzung zur Verfügung stellt und dieser </w:t>
      </w:r>
      <w:r w:rsidR="007C5CD8">
        <w:rPr>
          <w:rFonts w:cs="Arial"/>
        </w:rPr>
        <w:t xml:space="preserve">Arbeitsplatz </w:t>
      </w:r>
      <w:r w:rsidRPr="00B34178">
        <w:rPr>
          <w:rFonts w:cs="Arial"/>
        </w:rPr>
        <w:t>auch tatsächlich regelmäßig an einigen Tagen genutzt wird.</w:t>
      </w:r>
    </w:p>
    <w:p w14:paraId="5288D8DC" w14:textId="77777777" w:rsidR="00163255" w:rsidRDefault="00163255" w:rsidP="00163255">
      <w:pPr>
        <w:spacing w:line="276" w:lineRule="auto"/>
        <w:jc w:val="both"/>
        <w:rPr>
          <w:rFonts w:cs="Arial"/>
        </w:rPr>
      </w:pPr>
    </w:p>
    <w:p w14:paraId="66F460B0" w14:textId="6FE267FF" w:rsidR="00163255" w:rsidRDefault="00163255" w:rsidP="00F1173A">
      <w:pPr>
        <w:pStyle w:val="berschrift2"/>
      </w:pPr>
      <w:r w:rsidRPr="00CB63AC">
        <w:t xml:space="preserve">Neue Regelung </w:t>
      </w:r>
      <w:r w:rsidR="007C5CD8">
        <w:t>im Kommentar zum</w:t>
      </w:r>
      <w:r w:rsidRPr="00CB63AC">
        <w:t xml:space="preserve"> OECD-Musterabkommen</w:t>
      </w:r>
    </w:p>
    <w:p w14:paraId="482E27F0" w14:textId="4D4A893C" w:rsidR="00163255" w:rsidRDefault="00163255" w:rsidP="00163255">
      <w:pPr>
        <w:spacing w:line="276" w:lineRule="auto"/>
        <w:jc w:val="both"/>
        <w:rPr>
          <w:rFonts w:cs="Arial"/>
        </w:rPr>
      </w:pPr>
      <w:r w:rsidRPr="00B34178">
        <w:rPr>
          <w:rFonts w:cs="Arial"/>
        </w:rPr>
        <w:t xml:space="preserve">Nunmehr wurde durch die </w:t>
      </w:r>
      <w:r w:rsidRPr="00CB63AC">
        <w:rPr>
          <w:rFonts w:cs="Arial"/>
        </w:rPr>
        <w:t>OECD</w:t>
      </w:r>
      <w:r w:rsidRPr="00B34178">
        <w:rPr>
          <w:rFonts w:cs="Arial"/>
          <w:b/>
          <w:bCs/>
        </w:rPr>
        <w:t xml:space="preserve"> </w:t>
      </w:r>
      <w:r w:rsidRPr="00CB63AC">
        <w:rPr>
          <w:rFonts w:cs="Arial"/>
        </w:rPr>
        <w:t>ein</w:t>
      </w:r>
      <w:r>
        <w:rPr>
          <w:rFonts w:cs="Arial"/>
          <w:b/>
          <w:bCs/>
        </w:rPr>
        <w:t xml:space="preserve"> </w:t>
      </w:r>
      <w:r w:rsidRPr="00B34178">
        <w:rPr>
          <w:rFonts w:cs="Arial"/>
          <w:b/>
          <w:bCs/>
        </w:rPr>
        <w:t>Update zum OECD-Musterkommentar</w:t>
      </w:r>
      <w:r w:rsidRPr="00B34178">
        <w:rPr>
          <w:rFonts w:cs="Arial"/>
        </w:rPr>
        <w:t xml:space="preserve"> vorgenommen, das </w:t>
      </w:r>
      <w:r w:rsidRPr="00B34178">
        <w:rPr>
          <w:rFonts w:cs="Arial"/>
          <w:b/>
          <w:bCs/>
        </w:rPr>
        <w:t>neue Regelungen</w:t>
      </w:r>
      <w:r w:rsidRPr="00B34178">
        <w:rPr>
          <w:rFonts w:cs="Arial"/>
        </w:rPr>
        <w:t xml:space="preserve"> für die </w:t>
      </w:r>
      <w:r w:rsidRPr="00AB011D">
        <w:rPr>
          <w:rFonts w:cs="Arial"/>
          <w:b/>
          <w:bCs/>
        </w:rPr>
        <w:t>Beurteilung eines Homeoffice</w:t>
      </w:r>
      <w:r w:rsidRPr="00B34178">
        <w:rPr>
          <w:rFonts w:cs="Arial"/>
        </w:rPr>
        <w:t xml:space="preserve"> (auch einer Zweitwohnung, Wohnung beim Partner/der Partnerin, etc</w:t>
      </w:r>
      <w:r>
        <w:rPr>
          <w:rFonts w:cs="Arial"/>
        </w:rPr>
        <w:t>.</w:t>
      </w:r>
      <w:r w:rsidRPr="00B34178">
        <w:rPr>
          <w:rFonts w:cs="Arial"/>
        </w:rPr>
        <w:t xml:space="preserve">) </w:t>
      </w:r>
      <w:r w:rsidRPr="00AB011D">
        <w:rPr>
          <w:rFonts w:cs="Arial"/>
          <w:b/>
          <w:bCs/>
        </w:rPr>
        <w:t>als Betriebsstätte</w:t>
      </w:r>
      <w:r w:rsidR="007C5CD8">
        <w:rPr>
          <w:rFonts w:cs="Arial"/>
          <w:b/>
          <w:bCs/>
        </w:rPr>
        <w:t xml:space="preserve"> </w:t>
      </w:r>
      <w:r w:rsidR="007C5CD8" w:rsidRPr="007C5CD8">
        <w:rPr>
          <w:rFonts w:cs="Arial"/>
        </w:rPr>
        <w:t>enthält</w:t>
      </w:r>
      <w:r w:rsidRPr="00B34178">
        <w:rPr>
          <w:rFonts w:cs="Arial"/>
        </w:rPr>
        <w:t xml:space="preserve">. </w:t>
      </w:r>
    </w:p>
    <w:p w14:paraId="2DBF0086" w14:textId="77777777" w:rsidR="00163255" w:rsidRPr="00B34178" w:rsidRDefault="00163255" w:rsidP="00163255">
      <w:pPr>
        <w:spacing w:line="276" w:lineRule="auto"/>
        <w:jc w:val="both"/>
        <w:rPr>
          <w:rFonts w:cs="Arial"/>
        </w:rPr>
      </w:pPr>
      <w:r w:rsidRPr="00B34178">
        <w:rPr>
          <w:rFonts w:cs="Arial"/>
        </w:rPr>
        <w:t xml:space="preserve">Demnach ist das Homeoffice eine Betriebsstätte, wenn folgende Voraussetzungen gegeben sind: </w:t>
      </w:r>
    </w:p>
    <w:p w14:paraId="1383E275" w14:textId="2AAB7F3C" w:rsidR="00163255" w:rsidRPr="00B34178" w:rsidRDefault="00163255" w:rsidP="001E0EBF">
      <w:pPr>
        <w:pStyle w:val="AufzhlungenKlifonichtfett"/>
      </w:pPr>
      <w:r w:rsidRPr="00B34178">
        <w:t xml:space="preserve">Das Homeoffice muss eine </w:t>
      </w:r>
      <w:r w:rsidRPr="00B34178">
        <w:rPr>
          <w:b/>
          <w:bCs/>
        </w:rPr>
        <w:t>feste Geschäftseinrichtung</w:t>
      </w:r>
      <w:r w:rsidRPr="00B34178">
        <w:t xml:space="preserve"> des Arbeitgeber-Unternehmens sei</w:t>
      </w:r>
      <w:r w:rsidR="001A1525">
        <w:t>n</w:t>
      </w:r>
      <w:r>
        <w:t>. D</w:t>
      </w:r>
      <w:r w:rsidRPr="00B34178">
        <w:t xml:space="preserve">as ist immer dann gegeben, wenn der Arbeitnehmer regelmäßig und </w:t>
      </w:r>
      <w:r w:rsidRPr="00B34178">
        <w:rPr>
          <w:b/>
          <w:bCs/>
        </w:rPr>
        <w:t xml:space="preserve">über einen längeren Zeitraum </w:t>
      </w:r>
      <w:r w:rsidRPr="00B34178">
        <w:t xml:space="preserve">im Homeoffice für das Unternehmen arbeitet. Die Arbeiten dürfen nicht bloße Vorbereitungs- oder Hilfstätigkeiten sein. </w:t>
      </w:r>
    </w:p>
    <w:p w14:paraId="45936ACF" w14:textId="2452FE48" w:rsidR="00163255" w:rsidRPr="00B34178" w:rsidRDefault="00163255" w:rsidP="001E0EBF">
      <w:pPr>
        <w:pStyle w:val="AufzhlungenKlifonichtfett"/>
      </w:pPr>
      <w:r w:rsidRPr="001E0EBF">
        <w:rPr>
          <w:b/>
          <w:bCs/>
        </w:rPr>
        <w:t>Arbeitszeit-Indikator:</w:t>
      </w:r>
      <w:r w:rsidRPr="00B34178">
        <w:t xml:space="preserve"> Der Arbeitnehmer muss mindestens</w:t>
      </w:r>
      <w:r w:rsidRPr="001E0EBF">
        <w:rPr>
          <w:b/>
          <w:bCs/>
        </w:rPr>
        <w:t xml:space="preserve"> 50 % der Arbeitszeit innerhalb von zwölf Monaten im Homeoffice </w:t>
      </w:r>
      <w:r w:rsidRPr="00B34178">
        <w:t>erbringen.</w:t>
      </w:r>
    </w:p>
    <w:p w14:paraId="43756BE7" w14:textId="77777777" w:rsidR="00163255" w:rsidRDefault="00163255" w:rsidP="001E0EBF">
      <w:pPr>
        <w:pStyle w:val="AufzhlungenKlifonichtfett"/>
      </w:pPr>
      <w:r w:rsidRPr="00B34178">
        <w:t xml:space="preserve">Zudem müssen </w:t>
      </w:r>
      <w:r w:rsidRPr="00B34178">
        <w:rPr>
          <w:b/>
          <w:bCs/>
        </w:rPr>
        <w:t>wirtschaftliche Gründe des Unternehmens</w:t>
      </w:r>
      <w:r w:rsidRPr="00B34178">
        <w:t xml:space="preserve"> für die Home</w:t>
      </w:r>
      <w:r>
        <w:t>o</w:t>
      </w:r>
      <w:r w:rsidRPr="00B34178">
        <w:t>ffice-Arbeit sprechen. Ein solcher wirtschaftlicher Grund liegt vor, wenn die physische Anwesenheit des Arbeitnehmers im anderen Staat die Ausübung der Geschäftstätigkeit des Unternehmens erleichtert. Dies ist b</w:t>
      </w:r>
      <w:r>
        <w:t>eispielsweise</w:t>
      </w:r>
      <w:r w:rsidRPr="00B34178">
        <w:t xml:space="preserve"> dann der Fall, wenn der Arbeitnehmer direkt mit Kunden, Lieferanten, verbundenen Unternehmen oder anderen Personen, die sich im Home</w:t>
      </w:r>
      <w:r>
        <w:t>o</w:t>
      </w:r>
      <w:r w:rsidRPr="00B34178">
        <w:t>ffice-Staat aufhalten, in geschäftlichen Kontakt tritt. Lediglich sporadischer Kontakt reicht allerdings für die Annahme eines wirtschaftlichen Grundes nicht aus.</w:t>
      </w:r>
    </w:p>
    <w:p w14:paraId="379B416B" w14:textId="5A296C4D" w:rsidR="00EC4B17" w:rsidRDefault="00EC4B17">
      <w:pPr>
        <w:rPr>
          <w:rFonts w:cs="Arial"/>
        </w:rPr>
      </w:pPr>
      <w:r>
        <w:br w:type="page"/>
      </w:r>
    </w:p>
    <w:p w14:paraId="0AB95B8E" w14:textId="77777777" w:rsidR="00163255" w:rsidRPr="007959CB"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BB0ECC">
        <w:rPr>
          <w:rFonts w:cs="Arial"/>
          <w:b/>
          <w:bCs/>
          <w:i/>
          <w:iCs/>
        </w:rPr>
        <w:lastRenderedPageBreak/>
        <w:t>Beispiel</w:t>
      </w:r>
      <w:r w:rsidRPr="007959CB">
        <w:rPr>
          <w:rFonts w:cs="Arial"/>
          <w:i/>
          <w:iCs/>
        </w:rPr>
        <w:t>:</w:t>
      </w:r>
    </w:p>
    <w:p w14:paraId="03FA19E0" w14:textId="09380CA4" w:rsidR="00163255" w:rsidRPr="007959CB"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959CB">
        <w:rPr>
          <w:rFonts w:cs="Arial"/>
          <w:i/>
          <w:iCs/>
        </w:rPr>
        <w:t>Ein Arbeitnehmer der österreichischen Ö-Gmb</w:t>
      </w:r>
      <w:r>
        <w:rPr>
          <w:rFonts w:cs="Arial"/>
          <w:i/>
          <w:iCs/>
        </w:rPr>
        <w:t>H</w:t>
      </w:r>
      <w:r w:rsidRPr="007959CB">
        <w:rPr>
          <w:rFonts w:cs="Arial"/>
          <w:i/>
          <w:iCs/>
        </w:rPr>
        <w:t xml:space="preserve"> arbeitet 80</w:t>
      </w:r>
      <w:r w:rsidR="001A1525">
        <w:rPr>
          <w:rFonts w:cs="Arial"/>
          <w:i/>
          <w:iCs/>
        </w:rPr>
        <w:t> </w:t>
      </w:r>
      <w:r w:rsidRPr="007959CB">
        <w:rPr>
          <w:rFonts w:cs="Arial"/>
          <w:i/>
          <w:iCs/>
        </w:rPr>
        <w:t>% seiner Arbeitszeit in einem Zeitraum von zwölf Monaten in seiner Wohnung in Ungarn. Er besucht regelmäßig Kunden der Ö-GmbH in Ungarn, um ihnen Dienstleistungen der Ö-Gmb</w:t>
      </w:r>
      <w:r>
        <w:rPr>
          <w:rFonts w:cs="Arial"/>
          <w:i/>
          <w:iCs/>
        </w:rPr>
        <w:t>H</w:t>
      </w:r>
      <w:r w:rsidRPr="007959CB">
        <w:rPr>
          <w:rFonts w:cs="Arial"/>
          <w:i/>
          <w:iCs/>
        </w:rPr>
        <w:t xml:space="preserve"> zu erbringen.</w:t>
      </w:r>
    </w:p>
    <w:p w14:paraId="2CBF5E33" w14:textId="77777777" w:rsidR="00163255" w:rsidRPr="007959CB"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BB0ECC">
        <w:rPr>
          <w:rFonts w:cs="Arial"/>
          <w:i/>
          <w:iCs/>
        </w:rPr>
        <w:t>Lösung</w:t>
      </w:r>
      <w:r w:rsidRPr="007959CB">
        <w:rPr>
          <w:rFonts w:cs="Arial"/>
          <w:i/>
          <w:iCs/>
        </w:rPr>
        <w:t>:</w:t>
      </w:r>
    </w:p>
    <w:p w14:paraId="448D8A5E" w14:textId="15113A05" w:rsidR="00163255" w:rsidRPr="007959CB" w:rsidRDefault="00163255" w:rsidP="00163255">
      <w:pPr>
        <w:pBdr>
          <w:top w:val="single" w:sz="4" w:space="1" w:color="auto"/>
          <w:left w:val="single" w:sz="4" w:space="4" w:color="auto"/>
          <w:bottom w:val="single" w:sz="4" w:space="1" w:color="auto"/>
          <w:right w:val="single" w:sz="4" w:space="4" w:color="auto"/>
        </w:pBdr>
        <w:shd w:val="clear" w:color="auto" w:fill="B8CCE4" w:themeFill="accent1" w:themeFillTint="66"/>
        <w:spacing w:line="276" w:lineRule="auto"/>
        <w:jc w:val="both"/>
        <w:rPr>
          <w:rFonts w:cs="Arial"/>
          <w:i/>
          <w:iCs/>
        </w:rPr>
      </w:pPr>
      <w:r w:rsidRPr="007959CB">
        <w:rPr>
          <w:rFonts w:cs="Arial"/>
          <w:i/>
          <w:iCs/>
        </w:rPr>
        <w:t>Die Wohnung in Ungarn ist als feste Einrichtung anzusehen, da der Ort regelmäßig und dauerhaft für Geschäftstätigkeiten der Ö-GmbH genutzt wird. Weiters verbringt der Arbeitnehmer mindestens 50</w:t>
      </w:r>
      <w:r>
        <w:rPr>
          <w:rFonts w:cs="Arial"/>
          <w:i/>
          <w:iCs/>
        </w:rPr>
        <w:t> </w:t>
      </w:r>
      <w:r w:rsidRPr="007959CB">
        <w:rPr>
          <w:rFonts w:cs="Arial"/>
          <w:i/>
          <w:iCs/>
        </w:rPr>
        <w:t xml:space="preserve">% seiner Arbeitszeit mit der Arbeit </w:t>
      </w:r>
      <w:r w:rsidR="007B3F67">
        <w:rPr>
          <w:rFonts w:cs="Arial"/>
          <w:i/>
          <w:iCs/>
        </w:rPr>
        <w:t>in</w:t>
      </w:r>
      <w:r w:rsidRPr="007959CB">
        <w:rPr>
          <w:rFonts w:cs="Arial"/>
          <w:i/>
          <w:iCs/>
        </w:rPr>
        <w:t xml:space="preserve"> seiner Wohnung in Ungarn und es gibt aus Sicht der Ö-Gmb</w:t>
      </w:r>
      <w:r>
        <w:rPr>
          <w:rFonts w:cs="Arial"/>
          <w:i/>
          <w:iCs/>
        </w:rPr>
        <w:t>H</w:t>
      </w:r>
      <w:r w:rsidRPr="007959CB">
        <w:rPr>
          <w:rFonts w:cs="Arial"/>
          <w:i/>
          <w:iCs/>
        </w:rPr>
        <w:t xml:space="preserve"> einen wirtschaftlichen Grund für die Anwesenheit des Arbeitnehmers in Ungarn (Dienstleistungen an Kunden der Ö-GmbH in Ungarn). Die Wohnung in Ungarn ist daher eine Betriebsstätte der Ö-GmbH in Ungarn.</w:t>
      </w:r>
    </w:p>
    <w:p w14:paraId="050208B3" w14:textId="77777777" w:rsidR="00163255" w:rsidRPr="00B34178" w:rsidRDefault="00163255" w:rsidP="00163255">
      <w:pPr>
        <w:spacing w:line="276" w:lineRule="auto"/>
        <w:jc w:val="both"/>
        <w:rPr>
          <w:rFonts w:cs="Arial"/>
        </w:rPr>
      </w:pPr>
    </w:p>
    <w:p w14:paraId="3A14789E" w14:textId="77777777" w:rsidR="00163255" w:rsidRPr="00AB011D" w:rsidRDefault="00163255" w:rsidP="00163255">
      <w:pPr>
        <w:spacing w:line="276" w:lineRule="auto"/>
        <w:jc w:val="both"/>
        <w:rPr>
          <w:rFonts w:cs="Arial"/>
          <w:b/>
          <w:bCs/>
        </w:rPr>
      </w:pPr>
      <w:r w:rsidRPr="00AB011D">
        <w:rPr>
          <w:rFonts w:cs="Arial"/>
          <w:b/>
          <w:bCs/>
        </w:rPr>
        <w:t>Für Österreich gilt ab 2026:</w:t>
      </w:r>
    </w:p>
    <w:p w14:paraId="3E642B14" w14:textId="4867D861" w:rsidR="00163255" w:rsidRPr="00B34178" w:rsidRDefault="00163255" w:rsidP="00163255">
      <w:pPr>
        <w:spacing w:line="276" w:lineRule="auto"/>
        <w:jc w:val="both"/>
        <w:rPr>
          <w:rFonts w:cs="Arial"/>
        </w:rPr>
      </w:pPr>
      <w:r w:rsidRPr="00B34178">
        <w:rPr>
          <w:rFonts w:cs="Arial"/>
        </w:rPr>
        <w:t>Das BMF hat in einer aktuellen Info vom 4.1.2026 die Aussagen dieses Update</w:t>
      </w:r>
      <w:r>
        <w:rPr>
          <w:rFonts w:cs="Arial"/>
        </w:rPr>
        <w:t>s</w:t>
      </w:r>
      <w:r w:rsidRPr="00B34178">
        <w:rPr>
          <w:rFonts w:cs="Arial"/>
        </w:rPr>
        <w:t xml:space="preserve"> des OECD-Musterkommentars übernommen. Es wird somit nicht mehr auf die Verfügungsmacht über die Betriebsstätte abgestellt. Entscheidend ist nunmehr, dass der Arbeitnehmer </w:t>
      </w:r>
      <w:r w:rsidRPr="00B34178">
        <w:rPr>
          <w:rFonts w:cs="Arial"/>
          <w:b/>
          <w:bCs/>
        </w:rPr>
        <w:t>zumindest 50</w:t>
      </w:r>
      <w:r>
        <w:rPr>
          <w:rFonts w:cs="Arial"/>
          <w:b/>
          <w:bCs/>
        </w:rPr>
        <w:t> </w:t>
      </w:r>
      <w:r w:rsidRPr="00B34178">
        <w:rPr>
          <w:rFonts w:cs="Arial"/>
          <w:b/>
          <w:bCs/>
        </w:rPr>
        <w:t>% der Arbeitszeit innerhalb eines Zeitraums von zwölf Monaten im Homeoffice verbringt</w:t>
      </w:r>
      <w:r w:rsidRPr="00B34178">
        <w:rPr>
          <w:rFonts w:cs="Arial"/>
        </w:rPr>
        <w:t xml:space="preserve"> und für das Unternehmen </w:t>
      </w:r>
      <w:r w:rsidRPr="00B34178">
        <w:rPr>
          <w:rFonts w:cs="Arial"/>
          <w:b/>
          <w:bCs/>
        </w:rPr>
        <w:t>ein wirtschaftlicher Grund</w:t>
      </w:r>
      <w:r w:rsidRPr="00B34178">
        <w:rPr>
          <w:rFonts w:cs="Arial"/>
        </w:rPr>
        <w:t xml:space="preserve"> dafür besteht, dass der Arbeitnehmer im Homeoffice im betreffenden Staat arbeitet. Eine normale Homeoffice-Nutzung stellt keinen solchen wirtschaftlichen Grund dar. </w:t>
      </w:r>
    </w:p>
    <w:p w14:paraId="23D56467" w14:textId="77777777" w:rsidR="00163255" w:rsidRDefault="00163255" w:rsidP="00163255">
      <w:pPr>
        <w:spacing w:line="276" w:lineRule="auto"/>
        <w:jc w:val="both"/>
        <w:rPr>
          <w:rFonts w:cs="Arial"/>
        </w:rPr>
      </w:pPr>
    </w:p>
    <w:p w14:paraId="4C79777E" w14:textId="77777777" w:rsidR="00163255" w:rsidRDefault="00163255" w:rsidP="00163255">
      <w:pPr>
        <w:spacing w:line="276" w:lineRule="auto"/>
        <w:jc w:val="both"/>
        <w:rPr>
          <w:rFonts w:cs="Arial"/>
        </w:rPr>
      </w:pPr>
      <w:r w:rsidRPr="00B34178">
        <w:rPr>
          <w:rFonts w:cs="Arial"/>
        </w:rPr>
        <w:t>Eine Besonderheit besteht, wenn die im Home</w:t>
      </w:r>
      <w:r>
        <w:rPr>
          <w:rFonts w:cs="Arial"/>
        </w:rPr>
        <w:t>o</w:t>
      </w:r>
      <w:r w:rsidRPr="00B34178">
        <w:rPr>
          <w:rFonts w:cs="Arial"/>
        </w:rPr>
        <w:t>ffice arbeitende Person die einzige oder wichtigste Person ist, die die Geschäftstätigkeit eines Unternehmens ausübt (z</w:t>
      </w:r>
      <w:r>
        <w:rPr>
          <w:rFonts w:cs="Arial"/>
        </w:rPr>
        <w:t>.</w:t>
      </w:r>
      <w:r w:rsidRPr="00B34178">
        <w:rPr>
          <w:rFonts w:cs="Arial"/>
        </w:rPr>
        <w:t>B</w:t>
      </w:r>
      <w:r>
        <w:rPr>
          <w:rFonts w:cs="Arial"/>
        </w:rPr>
        <w:t>.</w:t>
      </w:r>
      <w:r w:rsidRPr="00B34178">
        <w:rPr>
          <w:rFonts w:cs="Arial"/>
        </w:rPr>
        <w:t xml:space="preserve"> </w:t>
      </w:r>
      <w:r w:rsidRPr="00B34178">
        <w:rPr>
          <w:rFonts w:cs="Arial"/>
          <w:b/>
          <w:bCs/>
        </w:rPr>
        <w:t>Geschäftsführer</w:t>
      </w:r>
      <w:r w:rsidRPr="00B34178">
        <w:rPr>
          <w:rFonts w:cs="Arial"/>
        </w:rPr>
        <w:t xml:space="preserve">). </w:t>
      </w:r>
      <w:r>
        <w:rPr>
          <w:rFonts w:cs="Arial"/>
        </w:rPr>
        <w:t xml:space="preserve">In diesem Fall </w:t>
      </w:r>
      <w:r w:rsidRPr="00B34178">
        <w:rPr>
          <w:rFonts w:cs="Arial"/>
        </w:rPr>
        <w:t>wird das Home</w:t>
      </w:r>
      <w:r>
        <w:rPr>
          <w:rFonts w:cs="Arial"/>
        </w:rPr>
        <w:t>o</w:t>
      </w:r>
      <w:r w:rsidRPr="00B34178">
        <w:rPr>
          <w:rFonts w:cs="Arial"/>
        </w:rPr>
        <w:t xml:space="preserve">ffice regelmäßig als Betriebsstätte beurteilt. </w:t>
      </w:r>
    </w:p>
    <w:p w14:paraId="6AE9FFD4" w14:textId="77777777" w:rsidR="00163255" w:rsidRPr="00B34178" w:rsidRDefault="00163255" w:rsidP="00163255">
      <w:pPr>
        <w:spacing w:line="276" w:lineRule="auto"/>
        <w:jc w:val="both"/>
        <w:rPr>
          <w:rFonts w:cs="Arial"/>
        </w:rPr>
      </w:pPr>
    </w:p>
    <w:p w14:paraId="3A938B39" w14:textId="77777777" w:rsidR="00BA7F36" w:rsidRPr="00EA359E" w:rsidRDefault="00BA7F36" w:rsidP="00B26ECE">
      <w:pPr>
        <w:rPr>
          <w:rFonts w:cs="Arial"/>
        </w:rPr>
      </w:pPr>
    </w:p>
    <w:p w14:paraId="46AC045D" w14:textId="07F7DCEA" w:rsidR="003D569A" w:rsidRPr="00CE55D5" w:rsidRDefault="00270EDD" w:rsidP="00BB6D2E">
      <w:pPr>
        <w:pStyle w:val="berschrift1"/>
        <w:rPr>
          <w:color w:val="004077"/>
          <w:sz w:val="22"/>
          <w:szCs w:val="22"/>
        </w:rPr>
      </w:pPr>
      <w:bookmarkStart w:id="14" w:name="_Toc157547938"/>
      <w:bookmarkStart w:id="15" w:name="_Toc220955347"/>
      <w:bookmarkStart w:id="16" w:name="_Toc57539066"/>
      <w:bookmarkEnd w:id="9"/>
      <w:bookmarkEnd w:id="10"/>
      <w:r w:rsidRPr="00CE55D5">
        <w:rPr>
          <w:color w:val="004077"/>
          <w:sz w:val="22"/>
          <w:szCs w:val="22"/>
        </w:rPr>
        <w:t>SPLITTER 1/202</w:t>
      </w:r>
      <w:bookmarkEnd w:id="14"/>
      <w:r w:rsidR="000A027B" w:rsidRPr="00CE55D5">
        <w:rPr>
          <w:color w:val="004077"/>
          <w:sz w:val="22"/>
          <w:szCs w:val="22"/>
        </w:rPr>
        <w:t>6</w:t>
      </w:r>
      <w:bookmarkEnd w:id="15"/>
    </w:p>
    <w:p w14:paraId="62865BCB" w14:textId="1D165BD2" w:rsidR="005C536F" w:rsidRPr="00EA359E" w:rsidRDefault="00EF47D7" w:rsidP="00D162EE">
      <w:pPr>
        <w:spacing w:line="276" w:lineRule="auto"/>
        <w:ind w:right="141"/>
        <w:jc w:val="both"/>
        <w:rPr>
          <w:rFonts w:cs="Arial"/>
        </w:rPr>
      </w:pPr>
      <w:r>
        <w:rPr>
          <w:rFonts w:cs="Arial"/>
        </w:rPr>
        <w:t xml:space="preserve">Wie gewohnt finden Sie in diesem Kapitel </w:t>
      </w:r>
      <w:r w:rsidR="005C536F" w:rsidRPr="00EA359E">
        <w:rPr>
          <w:rFonts w:cs="Arial"/>
        </w:rPr>
        <w:t>noch weitere</w:t>
      </w:r>
      <w:r>
        <w:rPr>
          <w:rFonts w:cs="Arial"/>
        </w:rPr>
        <w:t xml:space="preserve"> interessante </w:t>
      </w:r>
      <w:r w:rsidR="005C536F" w:rsidRPr="00EA359E">
        <w:rPr>
          <w:rFonts w:cs="Arial"/>
        </w:rPr>
        <w:t>Änderungen, die</w:t>
      </w:r>
      <w:r w:rsidR="00133BB5">
        <w:rPr>
          <w:rFonts w:cs="Arial"/>
        </w:rPr>
        <w:t xml:space="preserve"> ab 2026</w:t>
      </w:r>
      <w:r w:rsidR="005C536F" w:rsidRPr="00EA359E">
        <w:rPr>
          <w:rFonts w:cs="Arial"/>
        </w:rPr>
        <w:t xml:space="preserve"> in der unternehmerischen Praxis von </w:t>
      </w:r>
      <w:r w:rsidR="00A64FE6">
        <w:rPr>
          <w:rFonts w:cs="Arial"/>
        </w:rPr>
        <w:t>Relevanz</w:t>
      </w:r>
      <w:r w:rsidR="005C536F" w:rsidRPr="00EA359E">
        <w:rPr>
          <w:rFonts w:cs="Arial"/>
        </w:rPr>
        <w:t xml:space="preserve"> sein können.</w:t>
      </w:r>
    </w:p>
    <w:p w14:paraId="17D33006" w14:textId="77777777" w:rsidR="00E848D5" w:rsidRPr="00EA359E" w:rsidRDefault="00E848D5" w:rsidP="00D162EE">
      <w:pPr>
        <w:spacing w:line="276" w:lineRule="auto"/>
        <w:ind w:right="141"/>
        <w:jc w:val="both"/>
        <w:rPr>
          <w:rFonts w:cs="Arial"/>
        </w:rPr>
      </w:pPr>
    </w:p>
    <w:p w14:paraId="28165131" w14:textId="77777777" w:rsidR="0087374D" w:rsidRPr="00772FC9" w:rsidRDefault="0087374D" w:rsidP="00F1173A">
      <w:pPr>
        <w:pStyle w:val="berschrift2"/>
      </w:pPr>
      <w:r w:rsidRPr="00772FC9">
        <w:t>Belegerteilung mittels digitalen Belegs</w:t>
      </w:r>
    </w:p>
    <w:p w14:paraId="7B358E27" w14:textId="52E4E484" w:rsidR="0087374D" w:rsidRDefault="0087374D" w:rsidP="0087374D">
      <w:pPr>
        <w:spacing w:line="276" w:lineRule="auto"/>
        <w:jc w:val="both"/>
        <w:rPr>
          <w:rFonts w:cs="Arial"/>
        </w:rPr>
      </w:pPr>
      <w:r w:rsidRPr="00772FC9">
        <w:rPr>
          <w:rFonts w:cs="Arial"/>
        </w:rPr>
        <w:t xml:space="preserve">Mit dem </w:t>
      </w:r>
      <w:proofErr w:type="spellStart"/>
      <w:r w:rsidRPr="00772FC9">
        <w:rPr>
          <w:rFonts w:cs="Arial"/>
        </w:rPr>
        <w:t>AbgÄG</w:t>
      </w:r>
      <w:proofErr w:type="spellEnd"/>
      <w:r w:rsidRPr="00772FC9">
        <w:rPr>
          <w:rFonts w:cs="Arial"/>
        </w:rPr>
        <w:t xml:space="preserve"> 2025 wurde mit Wirksamkei</w:t>
      </w:r>
      <w:r w:rsidR="00CB63AC">
        <w:rPr>
          <w:rFonts w:cs="Arial"/>
        </w:rPr>
        <w:t>t</w:t>
      </w:r>
      <w:r w:rsidRPr="00772FC9">
        <w:rPr>
          <w:rFonts w:cs="Arial"/>
        </w:rPr>
        <w:t xml:space="preserve"> ab </w:t>
      </w:r>
      <w:r w:rsidRPr="00772FC9">
        <w:rPr>
          <w:rFonts w:cs="Arial"/>
          <w:b/>
        </w:rPr>
        <w:t>Oktober 2026</w:t>
      </w:r>
      <w:r w:rsidRPr="00772FC9">
        <w:rPr>
          <w:rFonts w:cs="Arial"/>
        </w:rPr>
        <w:t xml:space="preserve"> die Belegerteilungspflicht modifiziert, um den Zettelausdruck zu </w:t>
      </w:r>
      <w:r w:rsidR="00CB63AC">
        <w:rPr>
          <w:rFonts w:cs="Arial"/>
        </w:rPr>
        <w:t>reduzieren</w:t>
      </w:r>
      <w:r w:rsidRPr="00772FC9">
        <w:rPr>
          <w:rFonts w:cs="Arial"/>
        </w:rPr>
        <w:t>. Die Möglichkeit, einen Beleg nicht auf Papier</w:t>
      </w:r>
      <w:r w:rsidR="00101E8A">
        <w:rPr>
          <w:rFonts w:cs="Arial"/>
        </w:rPr>
        <w:t>,</w:t>
      </w:r>
      <w:r w:rsidRPr="00772FC9">
        <w:rPr>
          <w:rFonts w:cs="Arial"/>
        </w:rPr>
        <w:t xml:space="preserve"> sondern digital auszustellen, wird klar geregelt. </w:t>
      </w:r>
    </w:p>
    <w:p w14:paraId="509B67B3" w14:textId="77777777" w:rsidR="0087374D" w:rsidRDefault="0087374D" w:rsidP="0087374D">
      <w:pPr>
        <w:spacing w:line="276" w:lineRule="auto"/>
        <w:jc w:val="both"/>
        <w:rPr>
          <w:rFonts w:cs="Arial"/>
        </w:rPr>
      </w:pPr>
      <w:r w:rsidRPr="00772FC9">
        <w:rPr>
          <w:rFonts w:cs="Arial"/>
        </w:rPr>
        <w:t>Der Unternehmer kann den elektronischen Beleg entweder</w:t>
      </w:r>
    </w:p>
    <w:p w14:paraId="74E62FD7" w14:textId="2CB8D1E1" w:rsidR="0087374D" w:rsidRPr="00DF601F" w:rsidRDefault="007B3F67" w:rsidP="001E0EBF">
      <w:pPr>
        <w:pStyle w:val="AufzhlungenKlifonichtfett"/>
      </w:pPr>
      <w:r w:rsidRPr="007B3F67">
        <w:t>s</w:t>
      </w:r>
      <w:r w:rsidR="007C5CD8" w:rsidRPr="007B3F67">
        <w:t>ofort</w:t>
      </w:r>
      <w:r w:rsidR="007C5CD8">
        <w:t xml:space="preserve"> </w:t>
      </w:r>
      <w:r w:rsidR="0087374D" w:rsidRPr="00DF601F">
        <w:t xml:space="preserve">in den unmittelbaren </w:t>
      </w:r>
      <w:r w:rsidR="0087374D" w:rsidRPr="00DF601F">
        <w:rPr>
          <w:b/>
          <w:bCs/>
        </w:rPr>
        <w:t>Verfügungsbereich</w:t>
      </w:r>
      <w:r w:rsidR="0087374D" w:rsidRPr="00DF601F">
        <w:t xml:space="preserve"> des Kunden </w:t>
      </w:r>
      <w:r w:rsidR="0087374D" w:rsidRPr="00DF601F">
        <w:rPr>
          <w:b/>
          <w:bCs/>
        </w:rPr>
        <w:t>übersenden</w:t>
      </w:r>
      <w:r w:rsidR="0087374D" w:rsidRPr="00DF601F">
        <w:t xml:space="preserve"> (z</w:t>
      </w:r>
      <w:r w:rsidR="00CB63AC">
        <w:t>.</w:t>
      </w:r>
      <w:r w:rsidR="0087374D" w:rsidRPr="00DF601F">
        <w:t>B</w:t>
      </w:r>
      <w:r w:rsidR="00CB63AC">
        <w:t>.</w:t>
      </w:r>
      <w:r w:rsidR="0087374D" w:rsidRPr="00DF601F">
        <w:t xml:space="preserve"> per E-Mail oder per App) oder </w:t>
      </w:r>
    </w:p>
    <w:p w14:paraId="34DB7492" w14:textId="7873E576" w:rsidR="007B06CE" w:rsidRPr="007B06CE" w:rsidRDefault="0087374D" w:rsidP="001E0EBF">
      <w:pPr>
        <w:pStyle w:val="AufzhlungenKlifonichtfett"/>
      </w:pPr>
      <w:r w:rsidRPr="007B06CE">
        <w:t xml:space="preserve">dem Kunden die Möglichkeit </w:t>
      </w:r>
      <w:r w:rsidRPr="001E0EBF">
        <w:t>einräumen</w:t>
      </w:r>
      <w:r w:rsidRPr="007B06CE">
        <w:t xml:space="preserve">, den elektronischen Beleg </w:t>
      </w:r>
      <w:r w:rsidRPr="007B06CE">
        <w:rPr>
          <w:b/>
        </w:rPr>
        <w:t>mit einem Endgerät (Handy) auszulesen</w:t>
      </w:r>
      <w:r w:rsidRPr="007B06CE">
        <w:t xml:space="preserve"> (z</w:t>
      </w:r>
      <w:r w:rsidR="00CB63AC" w:rsidRPr="007B06CE">
        <w:t>.</w:t>
      </w:r>
      <w:r w:rsidRPr="007B06CE">
        <w:t>B</w:t>
      </w:r>
      <w:r w:rsidR="00CB63AC" w:rsidRPr="007B06CE">
        <w:t>.</w:t>
      </w:r>
      <w:r w:rsidRPr="007B06CE">
        <w:t xml:space="preserve"> per Bildschirmanzeige). Das Auslesen (z</w:t>
      </w:r>
      <w:r w:rsidR="00CB63AC" w:rsidRPr="007B06CE">
        <w:t>.</w:t>
      </w:r>
      <w:r w:rsidRPr="007B06CE">
        <w:t>B</w:t>
      </w:r>
      <w:r w:rsidR="00CB63AC" w:rsidRPr="007B06CE">
        <w:t>.</w:t>
      </w:r>
      <w:r w:rsidRPr="007B06CE">
        <w:t xml:space="preserve"> Scannen des angezeigten QR-Codes oder Download-Links) muss für den Kunden gleich bei der Bezahlung möglich sein. Die Anzeigedauer muss ausreichend lang sein, sodass für den Kunden kein Zeitdruck besteht.</w:t>
      </w:r>
    </w:p>
    <w:p w14:paraId="7AC28D56" w14:textId="672E5ECB" w:rsidR="0087374D" w:rsidRPr="00772FC9" w:rsidRDefault="007B06CE" w:rsidP="007B06CE">
      <w:pPr>
        <w:shd w:val="clear" w:color="auto" w:fill="B8CCE4" w:themeFill="accent1" w:themeFillTint="66"/>
        <w:spacing w:line="276" w:lineRule="auto"/>
        <w:jc w:val="both"/>
        <w:rPr>
          <w:rFonts w:cs="Arial"/>
        </w:rPr>
      </w:pPr>
      <w:r w:rsidRPr="007B06CE">
        <w:rPr>
          <w:rFonts w:cs="Arial"/>
          <w:b/>
          <w:bCs/>
          <w:u w:val="single"/>
        </w:rPr>
        <w:t>Hinweis</w:t>
      </w:r>
      <w:r>
        <w:rPr>
          <w:rFonts w:cs="Arial"/>
        </w:rPr>
        <w:t xml:space="preserve">: </w:t>
      </w:r>
      <w:r w:rsidR="0087374D" w:rsidRPr="00772FC9">
        <w:rPr>
          <w:rFonts w:cs="Arial"/>
        </w:rPr>
        <w:t xml:space="preserve">Papierbeleg und digitaler Beleg sind gleichwertig. Der barzahlende Kunde kann aber immer einen Papierbeleg verlangen. </w:t>
      </w:r>
    </w:p>
    <w:p w14:paraId="078AFAD2" w14:textId="77777777" w:rsidR="006E1E48" w:rsidRPr="00EA359E" w:rsidRDefault="006E1E48" w:rsidP="0087374D">
      <w:pPr>
        <w:spacing w:line="276" w:lineRule="auto"/>
        <w:ind w:right="141"/>
        <w:jc w:val="both"/>
        <w:rPr>
          <w:rFonts w:cs="Arial"/>
          <w:b/>
          <w:bCs/>
        </w:rPr>
      </w:pPr>
    </w:p>
    <w:p w14:paraId="0C3163BD" w14:textId="77777777" w:rsidR="0087374D" w:rsidRPr="0050381E" w:rsidRDefault="0087374D" w:rsidP="00F1173A">
      <w:pPr>
        <w:pStyle w:val="berschrift2"/>
      </w:pPr>
      <w:proofErr w:type="spellStart"/>
      <w:r w:rsidRPr="0050381E">
        <w:t>NoVA</w:t>
      </w:r>
      <w:proofErr w:type="spellEnd"/>
      <w:r w:rsidRPr="0050381E">
        <w:t>-Vergütung</w:t>
      </w:r>
    </w:p>
    <w:p w14:paraId="5DCC02C1" w14:textId="77777777" w:rsidR="0087374D" w:rsidRPr="0050381E" w:rsidRDefault="0087374D" w:rsidP="0087374D">
      <w:pPr>
        <w:spacing w:line="276" w:lineRule="auto"/>
        <w:jc w:val="both"/>
        <w:rPr>
          <w:rFonts w:cs="Arial"/>
        </w:rPr>
      </w:pPr>
      <w:r w:rsidRPr="0050381E">
        <w:rPr>
          <w:rFonts w:cs="Arial"/>
        </w:rPr>
        <w:t xml:space="preserve">In der Regierungsvorlage zum Betrugsbekämpfungsgesetz 2025 waren noch sehr restriktive Regelungen für die Vergütung der </w:t>
      </w:r>
      <w:proofErr w:type="spellStart"/>
      <w:r w:rsidRPr="0050381E">
        <w:rPr>
          <w:rFonts w:cs="Arial"/>
        </w:rPr>
        <w:t>NoVA</w:t>
      </w:r>
      <w:proofErr w:type="spellEnd"/>
      <w:r w:rsidRPr="0050381E">
        <w:rPr>
          <w:rFonts w:cs="Arial"/>
        </w:rPr>
        <w:t xml:space="preserve"> bei der Ausfuhr gebrauchter Fahrzeuge vorgesehen. Diese Einschränkungen wurden im Finanzausschuss des Parlaments etwas aufgeweicht. Daher gilt nunmehr folgende Regelung: </w:t>
      </w:r>
    </w:p>
    <w:p w14:paraId="6FAE2EB6" w14:textId="321F8FA5" w:rsidR="001E0EBF" w:rsidRDefault="0087374D" w:rsidP="001E0EBF">
      <w:pPr>
        <w:pStyle w:val="AufzhlungenKlifonichtfett"/>
        <w:rPr>
          <w:b/>
          <w:bCs/>
        </w:rPr>
      </w:pPr>
      <w:r w:rsidRPr="001E0EBF">
        <w:rPr>
          <w:b/>
          <w:bCs/>
        </w:rPr>
        <w:t xml:space="preserve">Beschränkung der </w:t>
      </w:r>
      <w:proofErr w:type="spellStart"/>
      <w:r w:rsidRPr="001E0EBF">
        <w:rPr>
          <w:b/>
          <w:bCs/>
        </w:rPr>
        <w:t>NoVA</w:t>
      </w:r>
      <w:proofErr w:type="spellEnd"/>
      <w:r w:rsidRPr="001E0EBF">
        <w:rPr>
          <w:b/>
          <w:bCs/>
        </w:rPr>
        <w:t xml:space="preserve">-Vergütung beim Export auf maximal 4 Jahre alte Kfz: </w:t>
      </w:r>
    </w:p>
    <w:p w14:paraId="6F9F2A27" w14:textId="1111B735" w:rsidR="0087374D" w:rsidRPr="001E0EBF" w:rsidRDefault="0087374D" w:rsidP="001E0EBF">
      <w:pPr>
        <w:pStyle w:val="AufzhlungenKlifonichtfett"/>
        <w:numPr>
          <w:ilvl w:val="0"/>
          <w:numId w:val="0"/>
        </w:numPr>
        <w:ind w:left="567"/>
        <w:rPr>
          <w:b/>
          <w:bCs/>
        </w:rPr>
      </w:pPr>
      <w:r w:rsidRPr="001E0EBF">
        <w:t xml:space="preserve">Bisher kam es grundsätzlich bei jedem Export eines </w:t>
      </w:r>
      <w:proofErr w:type="spellStart"/>
      <w:r w:rsidRPr="001E0EBF">
        <w:t>NoVA</w:t>
      </w:r>
      <w:proofErr w:type="spellEnd"/>
      <w:r w:rsidRPr="001E0EBF">
        <w:t xml:space="preserve">-pflichtigen Kfz zur anteiligen Vergütung der </w:t>
      </w:r>
      <w:proofErr w:type="spellStart"/>
      <w:r w:rsidRPr="001E0EBF">
        <w:t>NoVA</w:t>
      </w:r>
      <w:proofErr w:type="spellEnd"/>
      <w:r w:rsidRPr="001E0EBF">
        <w:t xml:space="preserve">. </w:t>
      </w:r>
      <w:r w:rsidRPr="001E0EBF">
        <w:rPr>
          <w:b/>
          <w:bCs/>
        </w:rPr>
        <w:t>Ab 1.7.2026</w:t>
      </w:r>
      <w:r w:rsidRPr="001E0EBF">
        <w:t xml:space="preserve"> ist Voraussetzung einer </w:t>
      </w:r>
      <w:proofErr w:type="spellStart"/>
      <w:r w:rsidRPr="001E0EBF">
        <w:t>NoVA</w:t>
      </w:r>
      <w:proofErr w:type="spellEnd"/>
      <w:r w:rsidRPr="001E0EBF">
        <w:t xml:space="preserve">-Vergütung, dass das Fahrzeug nur „vorübergehend im Inland“ verwendet wurde. Als vorübergehende Verwendung im Inland gilt „die ununterbrochene Zulassung zum Verkehr im Inland innerhalb eines Zeitraumes von </w:t>
      </w:r>
      <w:r w:rsidRPr="001E0EBF">
        <w:rPr>
          <w:b/>
        </w:rPr>
        <w:t>höchstens 48 Monaten</w:t>
      </w:r>
      <w:r w:rsidRPr="001E0EBF">
        <w:t xml:space="preserve"> ab dem </w:t>
      </w:r>
      <w:r w:rsidRPr="001E0EBF">
        <w:lastRenderedPageBreak/>
        <w:t xml:space="preserve">Zeitpunkt der erstmaligen Zulassung zum Verkehr“. Damit wird die Vergütung der </w:t>
      </w:r>
      <w:proofErr w:type="spellStart"/>
      <w:r w:rsidRPr="001E0EBF">
        <w:t>NoVA</w:t>
      </w:r>
      <w:proofErr w:type="spellEnd"/>
      <w:r w:rsidRPr="001E0EBF">
        <w:t xml:space="preserve"> bei Export auf maximal vier Jahre alte Kfz beschränkt. Die Vergütung berechnet sich vom gemeinen Wert des Fahrzeugs beim Export bzw. der Beendigung der inländischen Zulassung. Ist das Fahrzeug bei Beendigung der inländischen Zulassung auf Grund seines technischen Zustandes gar nicht mehr zulassungsfähig, ist der gemeine Wert mit € 0 anzusetzen, sodass es zu keiner </w:t>
      </w:r>
      <w:proofErr w:type="spellStart"/>
      <w:r w:rsidRPr="001E0EBF">
        <w:t>NoVA</w:t>
      </w:r>
      <w:proofErr w:type="spellEnd"/>
      <w:r w:rsidRPr="001E0EBF">
        <w:t>-Vergütung kommt.</w:t>
      </w:r>
    </w:p>
    <w:p w14:paraId="4D839CAA" w14:textId="7FD671CC" w:rsidR="001E0EBF" w:rsidRDefault="0087374D" w:rsidP="001E0EBF">
      <w:pPr>
        <w:pStyle w:val="AufzhlungenKlifonichtfett"/>
        <w:rPr>
          <w:b/>
          <w:bCs/>
        </w:rPr>
      </w:pPr>
      <w:r w:rsidRPr="001E0EBF">
        <w:rPr>
          <w:b/>
          <w:bCs/>
        </w:rPr>
        <w:t xml:space="preserve">Nur anteilige </w:t>
      </w:r>
      <w:proofErr w:type="spellStart"/>
      <w:r w:rsidRPr="001E0EBF">
        <w:rPr>
          <w:b/>
          <w:bCs/>
        </w:rPr>
        <w:t>NoVA</w:t>
      </w:r>
      <w:proofErr w:type="spellEnd"/>
      <w:r w:rsidRPr="001E0EBF">
        <w:rPr>
          <w:b/>
          <w:bCs/>
        </w:rPr>
        <w:t xml:space="preserve"> bei grenzüberschreitender Kfz-Überlassung: </w:t>
      </w:r>
    </w:p>
    <w:p w14:paraId="35B62606" w14:textId="2E9CB975" w:rsidR="0087374D" w:rsidRPr="001E0EBF" w:rsidRDefault="0087374D" w:rsidP="001E0EBF">
      <w:pPr>
        <w:pStyle w:val="AufzhlungenKlifonichtfett"/>
        <w:numPr>
          <w:ilvl w:val="0"/>
          <w:numId w:val="0"/>
        </w:numPr>
        <w:ind w:left="567"/>
        <w:rPr>
          <w:b/>
          <w:bCs/>
        </w:rPr>
      </w:pPr>
      <w:r w:rsidRPr="001E0EBF">
        <w:t xml:space="preserve">Werden Fahrzeuge aus dem EU- bzw. EWR-Ausland an eine Person in Österreich für einen Zeitraum von maximal 48 Monaten verleast, wird </w:t>
      </w:r>
      <w:r w:rsidRPr="001E0EBF">
        <w:rPr>
          <w:b/>
          <w:bCs/>
        </w:rPr>
        <w:t>ab 1.7.2026</w:t>
      </w:r>
      <w:r w:rsidRPr="001E0EBF">
        <w:t xml:space="preserve"> die </w:t>
      </w:r>
      <w:proofErr w:type="spellStart"/>
      <w:r w:rsidRPr="001E0EBF">
        <w:t>NoVA</w:t>
      </w:r>
      <w:proofErr w:type="spellEnd"/>
      <w:r w:rsidRPr="001E0EBF">
        <w:t xml:space="preserve"> von Anfang an nur anteilig (bezogen auf diesen Zeitraum) vorgeschrieben. </w:t>
      </w:r>
    </w:p>
    <w:p w14:paraId="19DAE0D5" w14:textId="77777777" w:rsidR="00D162EE" w:rsidRDefault="00D162EE" w:rsidP="0087374D">
      <w:pPr>
        <w:spacing w:line="276" w:lineRule="auto"/>
        <w:ind w:left="426" w:right="141"/>
        <w:jc w:val="both"/>
        <w:rPr>
          <w:rFonts w:cs="Arial"/>
          <w:b/>
          <w:bCs/>
        </w:rPr>
      </w:pPr>
    </w:p>
    <w:p w14:paraId="56693BFC" w14:textId="5814E41C" w:rsidR="007B06CE" w:rsidRPr="007B06CE" w:rsidRDefault="007B06CE" w:rsidP="00F1173A">
      <w:pPr>
        <w:pStyle w:val="berschrift2"/>
        <w:rPr>
          <w:rStyle w:val="Fett"/>
          <w:rFonts w:cs="Arial"/>
          <w:b/>
          <w:bCs w:val="0"/>
          <w:color w:val="2F2F2F"/>
        </w:rPr>
      </w:pPr>
      <w:r w:rsidRPr="007B06CE">
        <w:rPr>
          <w:rStyle w:val="Fett"/>
          <w:rFonts w:cs="Arial"/>
          <w:b/>
          <w:bCs w:val="0"/>
          <w:color w:val="2F2F2F"/>
        </w:rPr>
        <w:t xml:space="preserve">Reparieren statt Wegwerfen </w:t>
      </w:r>
    </w:p>
    <w:p w14:paraId="1E2F092B" w14:textId="0ABE0D84" w:rsidR="007B06CE" w:rsidRPr="00101E8A" w:rsidRDefault="007B06CE" w:rsidP="007B06CE">
      <w:pPr>
        <w:spacing w:line="276" w:lineRule="auto"/>
        <w:jc w:val="both"/>
        <w:rPr>
          <w:rFonts w:cs="Arial"/>
          <w:b/>
          <w:bCs/>
          <w:color w:val="2F2F2F"/>
        </w:rPr>
      </w:pPr>
      <w:r w:rsidRPr="007B06CE">
        <w:rPr>
          <w:rStyle w:val="Fett"/>
          <w:rFonts w:cs="Arial"/>
          <w:b w:val="0"/>
          <w:bCs w:val="0"/>
          <w:color w:val="2F2F2F"/>
        </w:rPr>
        <w:t>Diesen Gedanken unterstützt die</w:t>
      </w:r>
      <w:r w:rsidRPr="00744AA7">
        <w:rPr>
          <w:rStyle w:val="Fett"/>
          <w:rFonts w:cs="Arial"/>
          <w:color w:val="2F2F2F"/>
        </w:rPr>
        <w:t xml:space="preserve"> neue </w:t>
      </w:r>
      <w:r>
        <w:rPr>
          <w:rStyle w:val="Fett"/>
          <w:rFonts w:cs="Arial"/>
          <w:color w:val="2F2F2F"/>
        </w:rPr>
        <w:t>„</w:t>
      </w:r>
      <w:r w:rsidRPr="00744AA7">
        <w:rPr>
          <w:rStyle w:val="Fett"/>
          <w:rFonts w:cs="Arial"/>
          <w:color w:val="2F2F2F"/>
        </w:rPr>
        <w:t>Geräte-Retter-Prämie</w:t>
      </w:r>
      <w:r w:rsidR="00101E8A">
        <w:rPr>
          <w:rStyle w:val="Fett"/>
          <w:rFonts w:cs="Arial"/>
          <w:color w:val="2F2F2F"/>
        </w:rPr>
        <w:t>“</w:t>
      </w:r>
      <w:r>
        <w:rPr>
          <w:rStyle w:val="Fett"/>
          <w:rFonts w:cs="Arial"/>
          <w:color w:val="2F2F2F"/>
        </w:rPr>
        <w:t>.</w:t>
      </w:r>
      <w:r w:rsidRPr="00744AA7">
        <w:rPr>
          <w:rFonts w:cs="Arial"/>
          <w:color w:val="2F2F2F"/>
        </w:rPr>
        <w:t xml:space="preserve"> Das Nachfolgemodell für den Reparaturbonus startet </w:t>
      </w:r>
      <w:r w:rsidRPr="00744AA7">
        <w:rPr>
          <w:rFonts w:cs="Arial"/>
          <w:b/>
          <w:bCs/>
          <w:color w:val="2F2F2F"/>
        </w:rPr>
        <w:t>a</w:t>
      </w:r>
      <w:r w:rsidR="00101E8A">
        <w:rPr>
          <w:rFonts w:cs="Arial"/>
          <w:b/>
          <w:bCs/>
          <w:color w:val="2F2F2F"/>
        </w:rPr>
        <w:t>m</w:t>
      </w:r>
      <w:r w:rsidRPr="00744AA7">
        <w:rPr>
          <w:rFonts w:cs="Arial"/>
          <w:b/>
          <w:bCs/>
          <w:color w:val="2F2F2F"/>
        </w:rPr>
        <w:t xml:space="preserve"> 12.1.2026</w:t>
      </w:r>
      <w:r w:rsidRPr="00744AA7">
        <w:rPr>
          <w:rFonts w:cs="Arial"/>
          <w:color w:val="2F2F2F"/>
        </w:rPr>
        <w:t xml:space="preserve">. </w:t>
      </w:r>
      <w:r>
        <w:rPr>
          <w:rFonts w:cs="Arial"/>
          <w:color w:val="2F2F2F"/>
        </w:rPr>
        <w:t>Interessierte Betriebe</w:t>
      </w:r>
      <w:r w:rsidRPr="00744AA7">
        <w:rPr>
          <w:rFonts w:cs="Arial"/>
          <w:color w:val="2F2F2F"/>
        </w:rPr>
        <w:t xml:space="preserve"> können sich </w:t>
      </w:r>
      <w:r w:rsidRPr="007B06CE">
        <w:rPr>
          <w:rFonts w:cs="Arial"/>
          <w:color w:val="2F2F2F"/>
        </w:rPr>
        <w:t>seit Dezember</w:t>
      </w:r>
      <w:r w:rsidRPr="00744AA7">
        <w:rPr>
          <w:rFonts w:cs="Arial"/>
          <w:b/>
          <w:bCs/>
          <w:color w:val="2F2F2F"/>
        </w:rPr>
        <w:t xml:space="preserve"> </w:t>
      </w:r>
      <w:r w:rsidR="00101E8A" w:rsidRPr="00101E8A">
        <w:rPr>
          <w:rFonts w:cs="Arial"/>
          <w:color w:val="2F2F2F"/>
        </w:rPr>
        <w:t>2025</w:t>
      </w:r>
      <w:r w:rsidR="00101E8A">
        <w:rPr>
          <w:rFonts w:cs="Arial"/>
          <w:b/>
          <w:bCs/>
          <w:color w:val="2F2F2F"/>
        </w:rPr>
        <w:t xml:space="preserve"> </w:t>
      </w:r>
      <w:r w:rsidRPr="00744AA7">
        <w:rPr>
          <w:rFonts w:cs="Arial"/>
          <w:b/>
          <w:bCs/>
          <w:color w:val="2F2F2F"/>
        </w:rPr>
        <w:t>als Partnerbetrieb registrieren</w:t>
      </w:r>
      <w:r w:rsidRPr="00744AA7">
        <w:rPr>
          <w:rFonts w:cs="Arial"/>
          <w:color w:val="2F2F2F"/>
        </w:rPr>
        <w:t xml:space="preserve">. </w:t>
      </w:r>
      <w:r w:rsidR="001A1525">
        <w:rPr>
          <w:rFonts w:cs="Arial"/>
          <w:color w:val="2F2F2F"/>
        </w:rPr>
        <w:t>Der</w:t>
      </w:r>
      <w:r>
        <w:rPr>
          <w:rFonts w:cs="Arial"/>
          <w:color w:val="2F2F2F"/>
        </w:rPr>
        <w:t xml:space="preserve"> Fokus der förderbaren Reparaturen liegt bei haushaltsnahen Produkten wie z.B. Kaffeemaschine</w:t>
      </w:r>
      <w:r w:rsidRPr="00744AA7">
        <w:rPr>
          <w:rFonts w:cs="Arial"/>
          <w:color w:val="2F2F2F"/>
        </w:rPr>
        <w:t xml:space="preserve">, </w:t>
      </w:r>
      <w:r>
        <w:rPr>
          <w:rFonts w:cs="Arial"/>
          <w:color w:val="2F2F2F"/>
        </w:rPr>
        <w:t>Geschirrspüler, Hi-Fi-Anlage, Laptop, Blutdruckmessgeräte oder Akkuschrauber.</w:t>
      </w:r>
      <w:r w:rsidRPr="00744AA7">
        <w:rPr>
          <w:rFonts w:cs="Arial"/>
          <w:color w:val="2F2F2F"/>
        </w:rPr>
        <w:t xml:space="preserve"> </w:t>
      </w:r>
    </w:p>
    <w:p w14:paraId="12D13B6A" w14:textId="60D89C8A" w:rsidR="007B06CE" w:rsidRDefault="007B06CE" w:rsidP="007B06CE">
      <w:pPr>
        <w:spacing w:line="276" w:lineRule="auto"/>
        <w:jc w:val="both"/>
        <w:rPr>
          <w:rFonts w:cs="Arial"/>
          <w:color w:val="2F2F2F"/>
        </w:rPr>
      </w:pPr>
      <w:r>
        <w:rPr>
          <w:rFonts w:cs="Arial"/>
          <w:color w:val="2F2F2F"/>
        </w:rPr>
        <w:t xml:space="preserve">Definitiv ausgenommen sind E-Bikes, Fahrräder und Mobiltelefone. Eine Liste der nicht förderungsfähigen E-Geräte finden </w:t>
      </w:r>
      <w:r w:rsidR="001A1525">
        <w:rPr>
          <w:rFonts w:cs="Arial"/>
          <w:color w:val="2F2F2F"/>
        </w:rPr>
        <w:t>S</w:t>
      </w:r>
      <w:r>
        <w:rPr>
          <w:rFonts w:cs="Arial"/>
          <w:color w:val="2F2F2F"/>
        </w:rPr>
        <w:t xml:space="preserve">ie auf der </w:t>
      </w:r>
      <w:hyperlink r:id="rId11" w:history="1">
        <w:r w:rsidRPr="007B06CE">
          <w:rPr>
            <w:rStyle w:val="Hyperlink"/>
            <w:rFonts w:cs="Arial"/>
          </w:rPr>
          <w:t>Homepage</w:t>
        </w:r>
      </w:hyperlink>
      <w:r>
        <w:rPr>
          <w:rFonts w:cs="Arial"/>
          <w:color w:val="2F2F2F"/>
        </w:rPr>
        <w:t xml:space="preserve"> des BM für Klima- und Umweltschutz.</w:t>
      </w:r>
    </w:p>
    <w:p w14:paraId="6BF3944E" w14:textId="38193FD2" w:rsidR="007B06CE" w:rsidRDefault="007B06CE" w:rsidP="007B06CE">
      <w:pPr>
        <w:spacing w:line="276" w:lineRule="auto"/>
        <w:jc w:val="both"/>
        <w:rPr>
          <w:rFonts w:cs="Arial"/>
          <w:color w:val="2F2F2F"/>
        </w:rPr>
      </w:pPr>
      <w:r>
        <w:rPr>
          <w:rFonts w:cs="Arial"/>
          <w:color w:val="2F2F2F"/>
        </w:rPr>
        <w:t xml:space="preserve">Die Förderung richtet sich ausschließlich an Privatpersonen mit Wohnsitz in Österreich. Die Förderung </w:t>
      </w:r>
      <w:r w:rsidRPr="005E07D0">
        <w:rPr>
          <w:rFonts w:cs="Arial"/>
          <w:b/>
          <w:bCs/>
          <w:color w:val="2F2F2F"/>
        </w:rPr>
        <w:t>pro Bon beträgt 50</w:t>
      </w:r>
      <w:r w:rsidR="00101E8A">
        <w:rPr>
          <w:rFonts w:cs="Arial"/>
          <w:b/>
          <w:bCs/>
          <w:color w:val="2F2F2F"/>
        </w:rPr>
        <w:t> </w:t>
      </w:r>
      <w:r w:rsidRPr="005E07D0">
        <w:rPr>
          <w:rFonts w:cs="Arial"/>
          <w:b/>
          <w:bCs/>
          <w:color w:val="2F2F2F"/>
        </w:rPr>
        <w:t>% der Bruttokosten, maximal €</w:t>
      </w:r>
      <w:r>
        <w:rPr>
          <w:rFonts w:cs="Arial"/>
          <w:b/>
          <w:bCs/>
          <w:color w:val="2F2F2F"/>
        </w:rPr>
        <w:t> </w:t>
      </w:r>
      <w:r w:rsidRPr="005E07D0">
        <w:rPr>
          <w:rFonts w:cs="Arial"/>
          <w:b/>
          <w:bCs/>
          <w:color w:val="2F2F2F"/>
        </w:rPr>
        <w:t>130</w:t>
      </w:r>
      <w:r>
        <w:rPr>
          <w:rFonts w:cs="Arial"/>
          <w:color w:val="2F2F2F"/>
        </w:rPr>
        <w:t xml:space="preserve"> für eine Reparatur, Service, Wartung und </w:t>
      </w:r>
      <w:r w:rsidRPr="005E07D0">
        <w:rPr>
          <w:rFonts w:cs="Arial"/>
          <w:b/>
          <w:bCs/>
          <w:color w:val="2F2F2F"/>
        </w:rPr>
        <w:t>€</w:t>
      </w:r>
      <w:r>
        <w:rPr>
          <w:rFonts w:cs="Arial"/>
          <w:b/>
          <w:bCs/>
          <w:color w:val="2F2F2F"/>
        </w:rPr>
        <w:t> </w:t>
      </w:r>
      <w:r w:rsidRPr="005E07D0">
        <w:rPr>
          <w:rFonts w:cs="Arial"/>
          <w:b/>
          <w:bCs/>
          <w:color w:val="2F2F2F"/>
        </w:rPr>
        <w:t xml:space="preserve">30 für </w:t>
      </w:r>
      <w:proofErr w:type="gramStart"/>
      <w:r w:rsidRPr="005E07D0">
        <w:rPr>
          <w:rFonts w:cs="Arial"/>
          <w:b/>
          <w:bCs/>
          <w:color w:val="2F2F2F"/>
        </w:rPr>
        <w:t>einen  Kostenvoranschlag</w:t>
      </w:r>
      <w:proofErr w:type="gramEnd"/>
      <w:r>
        <w:rPr>
          <w:rFonts w:cs="Arial"/>
          <w:color w:val="2F2F2F"/>
        </w:rPr>
        <w:t>. Die Anzahl der Bons je Person ist grundsätzlich nicht begrenzt.</w:t>
      </w:r>
    </w:p>
    <w:p w14:paraId="0E904F71" w14:textId="77777777" w:rsidR="007B06CE" w:rsidRDefault="007B06CE" w:rsidP="007B06CE">
      <w:pPr>
        <w:spacing w:line="276" w:lineRule="auto"/>
        <w:jc w:val="both"/>
      </w:pPr>
    </w:p>
    <w:p w14:paraId="7A8D58D0" w14:textId="6F959829" w:rsidR="007B06CE" w:rsidRDefault="007B06CE" w:rsidP="007B06CE">
      <w:pPr>
        <w:spacing w:line="276" w:lineRule="auto"/>
        <w:jc w:val="both"/>
        <w:rPr>
          <w:rFonts w:cs="Arial"/>
          <w:color w:val="2F2F2F"/>
        </w:rPr>
      </w:pPr>
      <w:r>
        <w:t>Ablauf einer mit der Geräte-Retter-Prämie unterstützten Reparatur:</w:t>
      </w:r>
    </w:p>
    <w:p w14:paraId="1B9513BC" w14:textId="70BFC34E" w:rsidR="007B06CE" w:rsidRDefault="007B06CE" w:rsidP="008A0B47">
      <w:pPr>
        <w:pStyle w:val="Listenabsatz"/>
        <w:numPr>
          <w:ilvl w:val="0"/>
          <w:numId w:val="18"/>
        </w:numPr>
        <w:spacing w:after="160" w:line="276" w:lineRule="auto"/>
        <w:contextualSpacing/>
        <w:jc w:val="both"/>
        <w:rPr>
          <w:rFonts w:cs="Arial"/>
          <w:color w:val="2F2F2F"/>
        </w:rPr>
      </w:pPr>
      <w:r>
        <w:rPr>
          <w:rFonts w:cs="Arial"/>
          <w:color w:val="2F2F2F"/>
        </w:rPr>
        <w:t xml:space="preserve">Beantragung der Geräte-Retter-Bons auf </w:t>
      </w:r>
      <w:hyperlink r:id="rId12" w:history="1">
        <w:r w:rsidRPr="009913E8">
          <w:rPr>
            <w:rStyle w:val="Hyperlink"/>
            <w:rFonts w:cs="Arial"/>
          </w:rPr>
          <w:t>www.geräte-retter-prämie.at</w:t>
        </w:r>
      </w:hyperlink>
    </w:p>
    <w:p w14:paraId="4122C3A0" w14:textId="739AD091" w:rsidR="007B06CE" w:rsidRDefault="007B06CE" w:rsidP="008A0B47">
      <w:pPr>
        <w:pStyle w:val="Listenabsatz"/>
        <w:numPr>
          <w:ilvl w:val="0"/>
          <w:numId w:val="18"/>
        </w:numPr>
        <w:spacing w:after="160" w:line="276" w:lineRule="auto"/>
        <w:contextualSpacing/>
        <w:jc w:val="both"/>
        <w:rPr>
          <w:rFonts w:cs="Arial"/>
          <w:color w:val="2F2F2F"/>
        </w:rPr>
      </w:pPr>
      <w:r>
        <w:rPr>
          <w:rFonts w:cs="Arial"/>
          <w:color w:val="2F2F2F"/>
        </w:rPr>
        <w:t xml:space="preserve">Sie erhalten Ihren Bon per </w:t>
      </w:r>
      <w:r w:rsidR="00101E8A">
        <w:rPr>
          <w:rFonts w:cs="Arial"/>
          <w:color w:val="2F2F2F"/>
        </w:rPr>
        <w:t>E-</w:t>
      </w:r>
      <w:r>
        <w:rPr>
          <w:rFonts w:cs="Arial"/>
          <w:color w:val="2F2F2F"/>
        </w:rPr>
        <w:t>Mail bzw</w:t>
      </w:r>
      <w:r w:rsidR="00101E8A">
        <w:rPr>
          <w:rFonts w:cs="Arial"/>
          <w:color w:val="2F2F2F"/>
        </w:rPr>
        <w:t>.</w:t>
      </w:r>
      <w:r>
        <w:rPr>
          <w:rFonts w:cs="Arial"/>
          <w:color w:val="2F2F2F"/>
        </w:rPr>
        <w:t xml:space="preserve"> als Download. Der Bon ist 3 Wochen gültig.</w:t>
      </w:r>
    </w:p>
    <w:p w14:paraId="6DB7B108" w14:textId="77777777" w:rsidR="007B06CE" w:rsidRDefault="007B06CE" w:rsidP="008A0B47">
      <w:pPr>
        <w:pStyle w:val="Listenabsatz"/>
        <w:numPr>
          <w:ilvl w:val="0"/>
          <w:numId w:val="18"/>
        </w:numPr>
        <w:spacing w:after="160" w:line="276" w:lineRule="auto"/>
        <w:contextualSpacing/>
        <w:jc w:val="both"/>
        <w:rPr>
          <w:rFonts w:cs="Arial"/>
          <w:color w:val="2F2F2F"/>
        </w:rPr>
      </w:pPr>
      <w:r>
        <w:rPr>
          <w:rFonts w:cs="Arial"/>
          <w:color w:val="2F2F2F"/>
        </w:rPr>
        <w:t>Der Bon ist bei Bezahlung der Reparatur beim Partnerbetrieb abzugeben. Zunächst ist der gesamte Rechnungsbetrag an den Betrieb zu zahlen.</w:t>
      </w:r>
    </w:p>
    <w:p w14:paraId="3B0F6CED" w14:textId="77777777" w:rsidR="007B06CE" w:rsidRDefault="007B06CE" w:rsidP="008A0B47">
      <w:pPr>
        <w:pStyle w:val="Listenabsatz"/>
        <w:numPr>
          <w:ilvl w:val="0"/>
          <w:numId w:val="18"/>
        </w:numPr>
        <w:spacing w:after="160" w:line="276" w:lineRule="auto"/>
        <w:contextualSpacing/>
        <w:jc w:val="both"/>
        <w:rPr>
          <w:rFonts w:cs="Arial"/>
          <w:color w:val="2F2F2F"/>
        </w:rPr>
      </w:pPr>
      <w:r>
        <w:rPr>
          <w:rFonts w:cs="Arial"/>
          <w:color w:val="2F2F2F"/>
        </w:rPr>
        <w:t>Der Partnerbetrieb reicht die bezahlte Rechnung bei der Kommunalkredit Public Consulting (KPC) ein.</w:t>
      </w:r>
    </w:p>
    <w:p w14:paraId="59D2A506" w14:textId="77777777" w:rsidR="007B06CE" w:rsidRPr="00E01E51" w:rsidRDefault="007B06CE" w:rsidP="007B3F67">
      <w:pPr>
        <w:pStyle w:val="Listenabsatz"/>
        <w:numPr>
          <w:ilvl w:val="0"/>
          <w:numId w:val="18"/>
        </w:numPr>
        <w:spacing w:line="276" w:lineRule="auto"/>
        <w:contextualSpacing/>
        <w:jc w:val="both"/>
        <w:rPr>
          <w:rFonts w:cs="Arial"/>
          <w:color w:val="2F2F2F"/>
        </w:rPr>
      </w:pPr>
      <w:r>
        <w:rPr>
          <w:rFonts w:cs="Arial"/>
          <w:color w:val="2F2F2F"/>
        </w:rPr>
        <w:t>Die Prämie wird von der KPC nach Bearbeitung des Antrags direkt auf das Bankkonto der antragstellenden Person überwiesen.</w:t>
      </w:r>
    </w:p>
    <w:p w14:paraId="4988E32A" w14:textId="5B90639B" w:rsidR="007B06CE" w:rsidRPr="007B06CE" w:rsidRDefault="007B06CE" w:rsidP="007B06CE">
      <w:pPr>
        <w:shd w:val="clear" w:color="auto" w:fill="B8CCE4" w:themeFill="accent1" w:themeFillTint="66"/>
        <w:spacing w:line="276" w:lineRule="auto"/>
        <w:ind w:right="141"/>
        <w:jc w:val="both"/>
        <w:rPr>
          <w:rFonts w:cs="Arial"/>
        </w:rPr>
      </w:pPr>
      <w:r w:rsidRPr="007B06CE">
        <w:rPr>
          <w:rFonts w:cs="Arial"/>
          <w:b/>
          <w:bCs/>
          <w:u w:val="single"/>
        </w:rPr>
        <w:t>Hinweis</w:t>
      </w:r>
      <w:r w:rsidRPr="007B06CE">
        <w:rPr>
          <w:rFonts w:cs="Arial"/>
        </w:rPr>
        <w:t xml:space="preserve">: </w:t>
      </w:r>
      <w:r>
        <w:rPr>
          <w:rFonts w:cs="Arial"/>
        </w:rPr>
        <w:t>L</w:t>
      </w:r>
      <w:r w:rsidRPr="007B06CE">
        <w:rPr>
          <w:rFonts w:cs="Arial"/>
        </w:rPr>
        <w:t>eider kann der Antrag nur auf elektronischem Wege gestellt werden. Dies mag für einige Antragsteller</w:t>
      </w:r>
      <w:r>
        <w:rPr>
          <w:rFonts w:cs="Arial"/>
        </w:rPr>
        <w:t>, die nicht so geübt im Umgang mit dem Internet sind,</w:t>
      </w:r>
      <w:r w:rsidRPr="007B06CE">
        <w:rPr>
          <w:rFonts w:cs="Arial"/>
        </w:rPr>
        <w:t xml:space="preserve"> eine Hürde darstellen. </w:t>
      </w:r>
    </w:p>
    <w:p w14:paraId="72E48D9F" w14:textId="77777777" w:rsidR="007B06CE" w:rsidRDefault="007B06CE" w:rsidP="0087374D">
      <w:pPr>
        <w:spacing w:line="276" w:lineRule="auto"/>
        <w:ind w:left="426" w:right="141"/>
        <w:jc w:val="both"/>
        <w:rPr>
          <w:rFonts w:cs="Arial"/>
          <w:b/>
          <w:bCs/>
        </w:rPr>
      </w:pPr>
    </w:p>
    <w:p w14:paraId="143160CC" w14:textId="70FA36AB" w:rsidR="003126BE" w:rsidRPr="00DD3D89" w:rsidRDefault="003126BE" w:rsidP="00F1173A">
      <w:pPr>
        <w:pStyle w:val="berschrift2"/>
      </w:pPr>
      <w:r w:rsidRPr="00DD3D89">
        <w:t>Forschungsprämie</w:t>
      </w:r>
      <w:r w:rsidR="00866A71">
        <w:t xml:space="preserve"> </w:t>
      </w:r>
    </w:p>
    <w:p w14:paraId="455B224A" w14:textId="7CA6CE80" w:rsidR="003126BE" w:rsidRPr="00DD3D89" w:rsidRDefault="003126BE" w:rsidP="003126BE">
      <w:pPr>
        <w:spacing w:line="276" w:lineRule="auto"/>
        <w:jc w:val="both"/>
        <w:rPr>
          <w:rFonts w:cs="Arial"/>
        </w:rPr>
      </w:pPr>
      <w:r w:rsidRPr="00DD3D89">
        <w:rPr>
          <w:rFonts w:cs="Arial"/>
        </w:rPr>
        <w:t>In den Jahren 2023 und 2024 wurden an Forschungsprämie jeweils ca</w:t>
      </w:r>
      <w:r w:rsidR="007B3F67">
        <w:rPr>
          <w:rFonts w:cs="Arial"/>
        </w:rPr>
        <w:t>.</w:t>
      </w:r>
      <w:r w:rsidRPr="00DD3D89">
        <w:rPr>
          <w:rFonts w:cs="Arial"/>
        </w:rPr>
        <w:t xml:space="preserve"> € 1,2 Mrd</w:t>
      </w:r>
      <w:r>
        <w:rPr>
          <w:rFonts w:cs="Arial"/>
        </w:rPr>
        <w:t>.</w:t>
      </w:r>
      <w:r w:rsidRPr="00DD3D89">
        <w:rPr>
          <w:rFonts w:cs="Arial"/>
        </w:rPr>
        <w:t xml:space="preserve"> ausbezahlt. Die </w:t>
      </w:r>
      <w:r w:rsidRPr="00DD3D89">
        <w:rPr>
          <w:rFonts w:cs="Arial"/>
          <w:b/>
          <w:bCs/>
        </w:rPr>
        <w:t>Forschungsprämien-Verordnung (</w:t>
      </w:r>
      <w:proofErr w:type="spellStart"/>
      <w:r w:rsidRPr="00DD3D89">
        <w:rPr>
          <w:rFonts w:cs="Arial"/>
          <w:b/>
          <w:bCs/>
        </w:rPr>
        <w:t>FoPV</w:t>
      </w:r>
      <w:proofErr w:type="spellEnd"/>
      <w:r w:rsidRPr="00DD3D89">
        <w:rPr>
          <w:rFonts w:cs="Arial"/>
          <w:b/>
          <w:bCs/>
        </w:rPr>
        <w:t>)</w:t>
      </w:r>
      <w:r w:rsidRPr="00DD3D89">
        <w:rPr>
          <w:rFonts w:cs="Arial"/>
        </w:rPr>
        <w:t xml:space="preserve"> ist Ende 2025 noch umfassend </w:t>
      </w:r>
      <w:r w:rsidRPr="00DD3D89">
        <w:rPr>
          <w:rFonts w:cs="Arial"/>
          <w:b/>
          <w:bCs/>
        </w:rPr>
        <w:t>novelliert</w:t>
      </w:r>
      <w:r w:rsidRPr="00DD3D89">
        <w:rPr>
          <w:rFonts w:cs="Arial"/>
        </w:rPr>
        <w:t xml:space="preserve"> worden. Grund für die Novellierung war, dass der VwGH im September 2025 ausgesprochen hatte, dass auch Aufwendungen, die unter ein einkommensteuerliches Abzugsverbot fallen (z</w:t>
      </w:r>
      <w:r>
        <w:rPr>
          <w:rFonts w:cs="Arial"/>
        </w:rPr>
        <w:t>.</w:t>
      </w:r>
      <w:r w:rsidRPr="00DD3D89">
        <w:rPr>
          <w:rFonts w:cs="Arial"/>
        </w:rPr>
        <w:t>B</w:t>
      </w:r>
      <w:r>
        <w:rPr>
          <w:rFonts w:cs="Arial"/>
        </w:rPr>
        <w:t>.</w:t>
      </w:r>
      <w:r w:rsidRPr="00DD3D89">
        <w:rPr>
          <w:rFonts w:cs="Arial"/>
        </w:rPr>
        <w:t xml:space="preserve"> hohe Managergehälter), zur Bemessungs</w:t>
      </w:r>
      <w:r>
        <w:rPr>
          <w:rFonts w:cs="Arial"/>
        </w:rPr>
        <w:softHyphen/>
      </w:r>
      <w:r w:rsidRPr="00DD3D89">
        <w:rPr>
          <w:rFonts w:cs="Arial"/>
        </w:rPr>
        <w:t xml:space="preserve">grundlage der Forschungsprämie gehören. Die nunmehr novellierte Fassung der Verordnung knüpft ausdrücklich </w:t>
      </w:r>
      <w:r w:rsidRPr="00DD3D89">
        <w:rPr>
          <w:rFonts w:cs="Arial"/>
          <w:b/>
          <w:bCs/>
        </w:rPr>
        <w:t>an die steuerliche Gewinnermittlung</w:t>
      </w:r>
      <w:r w:rsidRPr="00DD3D89">
        <w:rPr>
          <w:rFonts w:cs="Arial"/>
        </w:rPr>
        <w:t xml:space="preserve"> an, sodass </w:t>
      </w:r>
      <w:r w:rsidR="00866A71">
        <w:rPr>
          <w:rFonts w:cs="Arial"/>
        </w:rPr>
        <w:t xml:space="preserve">grundsätzlich </w:t>
      </w:r>
      <w:r w:rsidRPr="00DD3D89">
        <w:rPr>
          <w:rFonts w:cs="Arial"/>
        </w:rPr>
        <w:t xml:space="preserve">nur steuerliche Betriebsausgaben die Bemessungsgrundlage für die Forschungsprämie bilden können und daher auch die steuerlichen Abzugsverbote </w:t>
      </w:r>
      <w:r w:rsidR="00866A71">
        <w:rPr>
          <w:rFonts w:cs="Arial"/>
        </w:rPr>
        <w:t xml:space="preserve">wieder </w:t>
      </w:r>
      <w:r w:rsidRPr="00DD3D89">
        <w:rPr>
          <w:rFonts w:cs="Arial"/>
        </w:rPr>
        <w:t xml:space="preserve">für die Forschungsprämie gelten. </w:t>
      </w:r>
    </w:p>
    <w:p w14:paraId="543F42DA" w14:textId="4708FFBB" w:rsidR="003126BE" w:rsidRPr="00DD3D89" w:rsidRDefault="003126BE" w:rsidP="003126BE">
      <w:pPr>
        <w:spacing w:line="276" w:lineRule="auto"/>
        <w:jc w:val="both"/>
        <w:rPr>
          <w:rFonts w:cs="Arial"/>
        </w:rPr>
      </w:pPr>
      <w:r w:rsidRPr="00DD3D89">
        <w:rPr>
          <w:rFonts w:cs="Arial"/>
        </w:rPr>
        <w:t xml:space="preserve">Die </w:t>
      </w:r>
      <w:r w:rsidR="00101E8A">
        <w:rPr>
          <w:rFonts w:cs="Arial"/>
        </w:rPr>
        <w:t>n</w:t>
      </w:r>
      <w:r w:rsidRPr="00DD3D89">
        <w:rPr>
          <w:rFonts w:cs="Arial"/>
        </w:rPr>
        <w:t xml:space="preserve">ovellierte Fassung der Verordnung enthält auch Regelungen für </w:t>
      </w:r>
      <w:r w:rsidRPr="00DD3D89">
        <w:rPr>
          <w:rFonts w:cs="Arial"/>
          <w:b/>
          <w:bCs/>
        </w:rPr>
        <w:t>unmittelbare Investitionen in ein aktivierungspflichtiges Wirtschaftsgut</w:t>
      </w:r>
      <w:r w:rsidRPr="00DD3D89">
        <w:rPr>
          <w:rFonts w:cs="Arial"/>
        </w:rPr>
        <w:t>. Bisher war unklar, ob der Aufwand sogleich oder im Wege der AfA zu berücksichtigen ist</w:t>
      </w:r>
      <w:r>
        <w:rPr>
          <w:rFonts w:cs="Arial"/>
        </w:rPr>
        <w:t>.</w:t>
      </w:r>
      <w:r w:rsidRPr="00DD3D89">
        <w:rPr>
          <w:rFonts w:cs="Arial"/>
        </w:rPr>
        <w:t xml:space="preserve"> </w:t>
      </w:r>
      <w:r>
        <w:rPr>
          <w:rFonts w:cs="Arial"/>
        </w:rPr>
        <w:t xml:space="preserve">Dafür wird nun </w:t>
      </w:r>
      <w:r w:rsidRPr="00DD3D89">
        <w:rPr>
          <w:rFonts w:cs="Arial"/>
        </w:rPr>
        <w:t xml:space="preserve">ein </w:t>
      </w:r>
      <w:r w:rsidRPr="00DD3D89">
        <w:rPr>
          <w:rFonts w:cs="Arial"/>
          <w:b/>
          <w:bCs/>
        </w:rPr>
        <w:t>Wahlrecht</w:t>
      </w:r>
      <w:r w:rsidRPr="00DD3D89">
        <w:rPr>
          <w:rFonts w:cs="Arial"/>
        </w:rPr>
        <w:t xml:space="preserve"> eingeräumt. Schließlich wurde</w:t>
      </w:r>
      <w:r w:rsidR="00866A71">
        <w:rPr>
          <w:rFonts w:cs="Arial"/>
        </w:rPr>
        <w:t>n</w:t>
      </w:r>
      <w:r w:rsidRPr="00DD3D89">
        <w:rPr>
          <w:rFonts w:cs="Arial"/>
        </w:rPr>
        <w:t xml:space="preserve"> mit der Novelle auch die Behandlung der </w:t>
      </w:r>
      <w:r w:rsidRPr="00DD3D89">
        <w:rPr>
          <w:rFonts w:cs="Arial"/>
          <w:b/>
          <w:bCs/>
        </w:rPr>
        <w:t>marktnahen Forschung und experimentellen Entwicklung</w:t>
      </w:r>
      <w:r w:rsidRPr="00DD3D89">
        <w:rPr>
          <w:rFonts w:cs="Arial"/>
        </w:rPr>
        <w:t xml:space="preserve"> sowie die </w:t>
      </w:r>
      <w:r w:rsidR="00866A71">
        <w:rPr>
          <w:rFonts w:cs="Arial"/>
        </w:rPr>
        <w:t xml:space="preserve">Anforderungen der </w:t>
      </w:r>
      <w:r w:rsidR="00866A71" w:rsidRPr="00866A71">
        <w:rPr>
          <w:rFonts w:cs="Arial"/>
          <w:b/>
          <w:bCs/>
        </w:rPr>
        <w:t>Jahresg</w:t>
      </w:r>
      <w:r w:rsidRPr="00DD3D89">
        <w:rPr>
          <w:rFonts w:cs="Arial"/>
          <w:b/>
          <w:bCs/>
        </w:rPr>
        <w:t>utachten</w:t>
      </w:r>
      <w:r w:rsidRPr="00DD3D89">
        <w:rPr>
          <w:rFonts w:cs="Arial"/>
        </w:rPr>
        <w:t xml:space="preserve"> </w:t>
      </w:r>
      <w:r w:rsidR="00866A71">
        <w:rPr>
          <w:rFonts w:cs="Arial"/>
        </w:rPr>
        <w:t xml:space="preserve">der Forschungsförderungsgesellschaft </w:t>
      </w:r>
      <w:r w:rsidRPr="00DD3D89">
        <w:rPr>
          <w:rFonts w:cs="Arial"/>
        </w:rPr>
        <w:t>neu geregelt.</w:t>
      </w:r>
    </w:p>
    <w:p w14:paraId="2A8E5F2C" w14:textId="29B70496" w:rsidR="006E7EEB" w:rsidRPr="00E25976" w:rsidRDefault="003126BE" w:rsidP="00E25976">
      <w:pPr>
        <w:shd w:val="clear" w:color="auto" w:fill="FABF8F" w:themeFill="accent6" w:themeFillTint="99"/>
        <w:spacing w:line="276" w:lineRule="auto"/>
        <w:jc w:val="both"/>
        <w:rPr>
          <w:rFonts w:cs="Arial"/>
        </w:rPr>
      </w:pPr>
      <w:r w:rsidRPr="003126BE">
        <w:rPr>
          <w:rFonts w:cs="Arial"/>
          <w:b/>
          <w:bCs/>
          <w:u w:val="single"/>
        </w:rPr>
        <w:t>Achtung</w:t>
      </w:r>
      <w:r>
        <w:rPr>
          <w:rFonts w:cs="Arial"/>
        </w:rPr>
        <w:t xml:space="preserve">: </w:t>
      </w:r>
      <w:r w:rsidRPr="00DD3D89">
        <w:rPr>
          <w:rFonts w:cs="Arial"/>
        </w:rPr>
        <w:t xml:space="preserve">Das BMF hat nunmehr eine </w:t>
      </w:r>
      <w:r w:rsidRPr="00DD3D89">
        <w:rPr>
          <w:rFonts w:cs="Arial"/>
          <w:b/>
          <w:bCs/>
        </w:rPr>
        <w:t xml:space="preserve">Info zur Forschungsprämien-Verordnung vom 23.1.2026 </w:t>
      </w:r>
      <w:r w:rsidRPr="00DD3D89">
        <w:rPr>
          <w:rFonts w:cs="Arial"/>
        </w:rPr>
        <w:t xml:space="preserve">herausgegeben. Darin heißt es, dass für Forschungsprämien-Erstanträge und Anträge auf Änderung der Prämie, die </w:t>
      </w:r>
      <w:r w:rsidRPr="00DD3D89">
        <w:rPr>
          <w:rFonts w:cs="Arial"/>
          <w:b/>
        </w:rPr>
        <w:t>in der Zeit von 5.11.2025 bis 17.12.2025</w:t>
      </w:r>
      <w:r w:rsidRPr="00DD3D89">
        <w:rPr>
          <w:rFonts w:cs="Arial"/>
        </w:rPr>
        <w:t xml:space="preserve"> gestellt worden sind, die </w:t>
      </w:r>
      <w:r w:rsidR="00866A71">
        <w:rPr>
          <w:rFonts w:cs="Arial"/>
        </w:rPr>
        <w:t xml:space="preserve">steuerlichen </w:t>
      </w:r>
      <w:r w:rsidRPr="00DD3D89">
        <w:rPr>
          <w:rFonts w:cs="Arial"/>
          <w:b/>
        </w:rPr>
        <w:t>Abzugsverbote</w:t>
      </w:r>
      <w:r>
        <w:rPr>
          <w:rFonts w:cs="Arial"/>
          <w:b/>
        </w:rPr>
        <w:t xml:space="preserve"> </w:t>
      </w:r>
      <w:r w:rsidRPr="00DD3D89">
        <w:rPr>
          <w:rFonts w:cs="Arial"/>
        </w:rPr>
        <w:t xml:space="preserve">für die Forschungsprämie </w:t>
      </w:r>
      <w:r w:rsidRPr="00DD3D89">
        <w:rPr>
          <w:rFonts w:cs="Arial"/>
          <w:b/>
        </w:rPr>
        <w:t>nicht gelten</w:t>
      </w:r>
      <w:r w:rsidRPr="00DD3D89">
        <w:rPr>
          <w:rFonts w:cs="Arial"/>
        </w:rPr>
        <w:t xml:space="preserve"> (z</w:t>
      </w:r>
      <w:r>
        <w:rPr>
          <w:rFonts w:cs="Arial"/>
        </w:rPr>
        <w:t>.</w:t>
      </w:r>
      <w:r w:rsidRPr="00DD3D89">
        <w:rPr>
          <w:rFonts w:cs="Arial"/>
        </w:rPr>
        <w:t>B</w:t>
      </w:r>
      <w:r>
        <w:rPr>
          <w:rFonts w:cs="Arial"/>
        </w:rPr>
        <w:t>.</w:t>
      </w:r>
      <w:r w:rsidRPr="00DD3D89">
        <w:rPr>
          <w:rFonts w:cs="Arial"/>
        </w:rPr>
        <w:t xml:space="preserve"> Angemessenheitsgrenze für Pkw). </w:t>
      </w:r>
    </w:p>
    <w:p w14:paraId="2277B53B" w14:textId="77777777" w:rsidR="006E7EEB" w:rsidRPr="004419A0" w:rsidRDefault="006E7EEB" w:rsidP="00560995">
      <w:pPr>
        <w:pStyle w:val="berschrift1"/>
        <w:rPr>
          <w:color w:val="004077"/>
        </w:rPr>
      </w:pPr>
      <w:bookmarkStart w:id="17" w:name="_Toc183761580"/>
      <w:bookmarkStart w:id="18" w:name="_Toc215561715"/>
      <w:bookmarkStart w:id="19" w:name="_Toc220955348"/>
      <w:r w:rsidRPr="004419A0">
        <w:rPr>
          <w:color w:val="004077"/>
        </w:rPr>
        <w:lastRenderedPageBreak/>
        <w:t>AKTUELLE HÖCHSTGERICHTLICHE ENTSCHEIDUNGEN</w:t>
      </w:r>
      <w:bookmarkEnd w:id="17"/>
      <w:bookmarkEnd w:id="18"/>
      <w:bookmarkEnd w:id="19"/>
    </w:p>
    <w:p w14:paraId="2F7D0F78" w14:textId="2A61686C" w:rsidR="007E3894" w:rsidRDefault="006E7EEB" w:rsidP="006E7EEB">
      <w:pPr>
        <w:spacing w:line="276" w:lineRule="auto"/>
        <w:ind w:right="141"/>
        <w:jc w:val="both"/>
      </w:pPr>
      <w:r>
        <w:t>Wir informieren Sie über interessante und praxisbezogene Urteile des VwGH.</w:t>
      </w:r>
    </w:p>
    <w:p w14:paraId="408F9501" w14:textId="77777777" w:rsidR="006E7EEB" w:rsidRDefault="006E7EEB" w:rsidP="006E7EEB">
      <w:pPr>
        <w:spacing w:line="276" w:lineRule="auto"/>
        <w:ind w:right="141"/>
        <w:jc w:val="both"/>
        <w:rPr>
          <w:rFonts w:cs="Arial"/>
          <w:b/>
          <w:bCs/>
        </w:rPr>
      </w:pPr>
    </w:p>
    <w:p w14:paraId="3EF2CB5A" w14:textId="09C889B1" w:rsidR="001E0EBF" w:rsidRDefault="007E3894" w:rsidP="007B3F67">
      <w:pPr>
        <w:pStyle w:val="AufzhlungenKlifonichtfett"/>
        <w:ind w:left="284"/>
        <w:rPr>
          <w:b/>
          <w:bCs/>
        </w:rPr>
      </w:pPr>
      <w:r w:rsidRPr="001E0EBF">
        <w:rPr>
          <w:b/>
          <w:bCs/>
        </w:rPr>
        <w:t>Inländische Betriebsstätte durch mitbenutzten Raum</w:t>
      </w:r>
    </w:p>
    <w:p w14:paraId="668DD875" w14:textId="0FC482A3" w:rsidR="007E3894" w:rsidRPr="001E0EBF" w:rsidRDefault="007E3894" w:rsidP="007B3F67">
      <w:pPr>
        <w:pStyle w:val="AufzhlungenKlifonichtfett"/>
        <w:numPr>
          <w:ilvl w:val="0"/>
          <w:numId w:val="0"/>
        </w:numPr>
        <w:ind w:left="283"/>
        <w:rPr>
          <w:b/>
          <w:bCs/>
        </w:rPr>
      </w:pPr>
      <w:r w:rsidRPr="001E0EBF">
        <w:t>Ein deutscher selbständiger Zahnarzt fuhr wöchentlich in ein österreichisches Gefängnis, um dort Insassen zu behandeln. In der Gefängnisanstalt konnte er für die Behandlungen stundenweise ein Arztzimmer nutzen, das ansonsten anderweitig verwendet war. Der VwGH beurteilte diesen Raum als inländische Betriebsstätte des deutschen Zahnarztes.</w:t>
      </w:r>
    </w:p>
    <w:p w14:paraId="6AB5FDEE" w14:textId="77777777" w:rsidR="007E3894" w:rsidRPr="00BD530D" w:rsidRDefault="007E3894" w:rsidP="007B3F67">
      <w:pPr>
        <w:spacing w:line="276" w:lineRule="auto"/>
        <w:jc w:val="both"/>
        <w:rPr>
          <w:rFonts w:cs="Arial"/>
        </w:rPr>
      </w:pPr>
    </w:p>
    <w:p w14:paraId="4E922659" w14:textId="6D5709DD" w:rsidR="001E0EBF" w:rsidRDefault="007E3894" w:rsidP="007B3F67">
      <w:pPr>
        <w:pStyle w:val="AufzhlungenKlifonichtfett"/>
        <w:ind w:left="284"/>
        <w:rPr>
          <w:b/>
          <w:bCs/>
        </w:rPr>
      </w:pPr>
      <w:r w:rsidRPr="001E0EBF">
        <w:rPr>
          <w:b/>
          <w:bCs/>
        </w:rPr>
        <w:t>Vermietungseinkünfte aus jährlich kündbarem Fruchtgenussrecht</w:t>
      </w:r>
    </w:p>
    <w:p w14:paraId="1D1E6E09" w14:textId="187EABD1" w:rsidR="007E3894" w:rsidRPr="001E0EBF" w:rsidRDefault="007E3894" w:rsidP="007B3F67">
      <w:pPr>
        <w:pStyle w:val="AufzhlungenKlifonichtfett"/>
        <w:numPr>
          <w:ilvl w:val="0"/>
          <w:numId w:val="0"/>
        </w:numPr>
        <w:ind w:left="283"/>
        <w:rPr>
          <w:b/>
          <w:bCs/>
        </w:rPr>
      </w:pPr>
      <w:r w:rsidRPr="001E0EBF">
        <w:t xml:space="preserve">Der Ehemann hatte seiner Frau das Fruchtgenussrecht an einer zu vermietenden Eigentumswohnung auf unbestimmte Zeit eingeräumt, aber mit der Möglichkeit der jährlichen Kündigung durch jede der beiden Seiten. Wegen dieser kurzfristigen Kündigungsmöglichkeit rechnete das BFG die Vermietungseinkünfte nicht der Ehefrau zu. Der VwGH entgegnet, auch ein jährlich kündbares Fruchtgenussrecht kann zur Zurechnung der Einkünfte an die Fruchtgenussberechtigte führen. Es kommt einzig darauf an, ob sie durch das Fruchtgenussrecht in der Lage ist, Vermietungsleistung zu erbringen. </w:t>
      </w:r>
    </w:p>
    <w:p w14:paraId="33700FA2" w14:textId="77777777" w:rsidR="007E3894" w:rsidRPr="00BD530D" w:rsidRDefault="007E3894" w:rsidP="007B3F67">
      <w:pPr>
        <w:spacing w:line="276" w:lineRule="auto"/>
        <w:jc w:val="both"/>
        <w:rPr>
          <w:rFonts w:cs="Arial"/>
        </w:rPr>
      </w:pPr>
    </w:p>
    <w:p w14:paraId="42170754" w14:textId="3F2256D3" w:rsidR="001E0EBF" w:rsidRDefault="007E3894" w:rsidP="007B3F67">
      <w:pPr>
        <w:pStyle w:val="AufzhlungenKlifonichtfett"/>
        <w:ind w:left="284"/>
        <w:rPr>
          <w:b/>
          <w:bCs/>
        </w:rPr>
      </w:pPr>
      <w:r w:rsidRPr="001E0EBF">
        <w:rPr>
          <w:b/>
          <w:bCs/>
        </w:rPr>
        <w:t>Vorbereitender Gebäudeabbruch zwecks Einräumung eines Baurechts</w:t>
      </w:r>
    </w:p>
    <w:p w14:paraId="499DDD08" w14:textId="40E8E7F2" w:rsidR="007E3894" w:rsidRPr="001E0EBF" w:rsidRDefault="007E3894" w:rsidP="007B3F67">
      <w:pPr>
        <w:pStyle w:val="AufzhlungenKlifonichtfett"/>
        <w:numPr>
          <w:ilvl w:val="0"/>
          <w:numId w:val="0"/>
        </w:numPr>
        <w:ind w:left="283"/>
        <w:rPr>
          <w:b/>
          <w:bCs/>
        </w:rPr>
      </w:pPr>
      <w:r w:rsidRPr="001E0EBF">
        <w:t>Der Eigentümer eines mit einem Haus bebauten Grundstücks musste das Haus abreißen lassen, damit er einem Wohnbauträger ein 50-jähriges Baurecht am Grundstück einräumen konnte. Aus dem entgeltlichen Baurecht erzielte der Grundeigentümer Einkünfte aus Vermietung und Verpachtung. Bei diesen Einkünften kann er die Anschaffungs- und Herstellungskosten des abgerissenen Hauses als Werbungskosten abziehen.</w:t>
      </w:r>
    </w:p>
    <w:p w14:paraId="48356448" w14:textId="77777777" w:rsidR="007E3894" w:rsidRPr="00BD530D" w:rsidRDefault="007E3894" w:rsidP="007B3F67">
      <w:pPr>
        <w:spacing w:line="276" w:lineRule="auto"/>
        <w:jc w:val="both"/>
        <w:rPr>
          <w:rFonts w:cs="Arial"/>
        </w:rPr>
      </w:pPr>
    </w:p>
    <w:p w14:paraId="64975615" w14:textId="2369BA17" w:rsidR="001E0EBF" w:rsidRDefault="007E3894" w:rsidP="007B3F67">
      <w:pPr>
        <w:pStyle w:val="AufzhlungenKlifonichtfett"/>
        <w:ind w:left="284"/>
        <w:rPr>
          <w:b/>
          <w:bCs/>
        </w:rPr>
      </w:pPr>
      <w:proofErr w:type="spellStart"/>
      <w:r w:rsidRPr="001E0EBF">
        <w:rPr>
          <w:b/>
          <w:bCs/>
        </w:rPr>
        <w:t>ImmoESt</w:t>
      </w:r>
      <w:proofErr w:type="spellEnd"/>
      <w:r w:rsidRPr="001E0EBF">
        <w:rPr>
          <w:b/>
          <w:bCs/>
        </w:rPr>
        <w:t xml:space="preserve"> beim Grundstücksverkauf nach einem Brand</w:t>
      </w:r>
    </w:p>
    <w:p w14:paraId="2DE021A1" w14:textId="77647988" w:rsidR="007E3894" w:rsidRPr="001E0EBF" w:rsidRDefault="007E3894" w:rsidP="007B3F67">
      <w:pPr>
        <w:pStyle w:val="AufzhlungenKlifonichtfett"/>
        <w:numPr>
          <w:ilvl w:val="0"/>
          <w:numId w:val="0"/>
        </w:numPr>
        <w:ind w:left="283"/>
        <w:rPr>
          <w:b/>
          <w:bCs/>
        </w:rPr>
      </w:pPr>
      <w:r w:rsidRPr="001E0EBF">
        <w:t>Der Steuerpflichtige hatte eine bebaute Liegenschaft gekauft. Später wurde das Gebäude durch einen Brand zerstört, sodass nur eine wertlose Brandruine verblieb. Die Feuerversicherung zahlt eine Versicherungs</w:t>
      </w:r>
      <w:r w:rsidRPr="001E0EBF">
        <w:softHyphen/>
        <w:t xml:space="preserve">entschädigung. In der Folge verkaufte der Steuerpflichtige die Liegenschaft. Bei der Berechnung der </w:t>
      </w:r>
      <w:proofErr w:type="spellStart"/>
      <w:r w:rsidRPr="001E0EBF">
        <w:t>ImmoESt</w:t>
      </w:r>
      <w:proofErr w:type="spellEnd"/>
      <w:r w:rsidRPr="001E0EBF">
        <w:t xml:space="preserve"> können nicht nur die Anschaffungskosten für den Boden abgezogen werden, sondern auch die Anschaffungskosten für das mittlerweile zerstörte Gebäude, allerdings nur vermindert um die erhaltene Versicherungsentschädigung. </w:t>
      </w:r>
    </w:p>
    <w:p w14:paraId="0A76E7AC" w14:textId="77777777" w:rsidR="007E3894" w:rsidRPr="00BD530D" w:rsidRDefault="007E3894" w:rsidP="007E3894">
      <w:pPr>
        <w:spacing w:line="276" w:lineRule="auto"/>
        <w:jc w:val="both"/>
        <w:rPr>
          <w:rFonts w:cs="Arial"/>
        </w:rPr>
      </w:pPr>
    </w:p>
    <w:p w14:paraId="1621A786" w14:textId="2A14CB3D" w:rsidR="001E0EBF" w:rsidRPr="001E0EBF" w:rsidRDefault="007E3894" w:rsidP="007B3F67">
      <w:pPr>
        <w:pStyle w:val="AufzhlungenKlifonichtfett"/>
        <w:numPr>
          <w:ilvl w:val="0"/>
          <w:numId w:val="33"/>
        </w:numPr>
        <w:ind w:left="283"/>
        <w:rPr>
          <w:b/>
          <w:bCs/>
        </w:rPr>
      </w:pPr>
      <w:r w:rsidRPr="001E0EBF">
        <w:rPr>
          <w:b/>
          <w:bCs/>
        </w:rPr>
        <w:t>Steuerfrei Gefahrenzulage für Ordinationshilfen in Arztpraxis</w:t>
      </w:r>
    </w:p>
    <w:p w14:paraId="06054EAF" w14:textId="37FD93F3" w:rsidR="007E3894" w:rsidRPr="001E0EBF" w:rsidRDefault="007E3894" w:rsidP="007B3F67">
      <w:pPr>
        <w:pStyle w:val="AufzhlungenKlifonichtfett"/>
        <w:numPr>
          <w:ilvl w:val="0"/>
          <w:numId w:val="0"/>
        </w:numPr>
        <w:ind w:left="284"/>
        <w:rPr>
          <w:b/>
          <w:bCs/>
        </w:rPr>
      </w:pPr>
      <w:r w:rsidRPr="001E0EBF">
        <w:t>Sind die in Arztpraxen von Allgemeinmedizinern oder Kinderärzten tätigen Ordinationshilfen als Erstanlaufstelle von akut kranken Patienten laufend mit (etwa über die Atemwege leicht übertragbaren) Infektionskrankheiten konfrontiert, kann die ihnen ausbezahlte „Infektionszulage“ als lohnsteuerfreie Gefahrenzulage beurteilt werden.</w:t>
      </w:r>
    </w:p>
    <w:p w14:paraId="54C5B7EE" w14:textId="77777777" w:rsidR="007E3894" w:rsidRDefault="007E3894" w:rsidP="0087374D">
      <w:pPr>
        <w:spacing w:line="276" w:lineRule="auto"/>
        <w:ind w:left="426" w:right="141"/>
        <w:jc w:val="both"/>
        <w:rPr>
          <w:rFonts w:cs="Arial"/>
          <w:b/>
          <w:bCs/>
        </w:rPr>
      </w:pPr>
    </w:p>
    <w:p w14:paraId="131E38E3" w14:textId="77777777" w:rsidR="006E7EEB" w:rsidRPr="00EA359E" w:rsidRDefault="006E7EEB" w:rsidP="0087374D">
      <w:pPr>
        <w:spacing w:line="276" w:lineRule="auto"/>
        <w:ind w:left="426" w:right="141"/>
        <w:jc w:val="both"/>
        <w:rPr>
          <w:rFonts w:cs="Arial"/>
          <w:b/>
          <w:bCs/>
        </w:rPr>
      </w:pPr>
    </w:p>
    <w:p w14:paraId="4E74F02F" w14:textId="0653BE57" w:rsidR="00270EDD" w:rsidRPr="004419A0" w:rsidRDefault="00F1173A" w:rsidP="007074FE">
      <w:pPr>
        <w:pStyle w:val="berschrift1"/>
        <w:rPr>
          <w:color w:val="004077"/>
          <w:sz w:val="22"/>
          <w:szCs w:val="22"/>
        </w:rPr>
      </w:pPr>
      <w:bookmarkStart w:id="20" w:name="_Toc157547939"/>
      <w:bookmarkStart w:id="21" w:name="_Toc220955349"/>
      <w:r w:rsidRPr="004419A0">
        <w:rPr>
          <w:color w:val="004077"/>
          <w:sz w:val="22"/>
          <w:szCs w:val="22"/>
        </w:rPr>
        <w:t>TERMINE FEBRUAR UND MÄRZ 202</w:t>
      </w:r>
      <w:bookmarkEnd w:id="20"/>
      <w:r w:rsidRPr="004419A0">
        <w:rPr>
          <w:color w:val="004077"/>
          <w:sz w:val="22"/>
          <w:szCs w:val="22"/>
        </w:rPr>
        <w:t>6</w:t>
      </w:r>
      <w:bookmarkEnd w:id="21"/>
    </w:p>
    <w:p w14:paraId="293F92D6" w14:textId="11F83C9F" w:rsidR="00483FA5" w:rsidRPr="00E708F1" w:rsidRDefault="00483FA5" w:rsidP="00E708F1">
      <w:pPr>
        <w:spacing w:line="276" w:lineRule="auto"/>
        <w:ind w:right="141"/>
        <w:jc w:val="both"/>
        <w:rPr>
          <w:rFonts w:cs="Arial"/>
        </w:rPr>
      </w:pPr>
      <w:bookmarkStart w:id="22" w:name="_Hlk94702246"/>
      <w:bookmarkEnd w:id="4"/>
      <w:bookmarkEnd w:id="5"/>
      <w:bookmarkEnd w:id="16"/>
      <w:r w:rsidRPr="00E708F1">
        <w:rPr>
          <w:rFonts w:cs="Arial"/>
        </w:rPr>
        <w:t xml:space="preserve">Gerade </w:t>
      </w:r>
      <w:r w:rsidR="00345363" w:rsidRPr="00E708F1">
        <w:rPr>
          <w:rFonts w:cs="Arial"/>
        </w:rPr>
        <w:t>im</w:t>
      </w:r>
      <w:r w:rsidRPr="00E708F1">
        <w:rPr>
          <w:rFonts w:cs="Arial"/>
        </w:rPr>
        <w:t xml:space="preserve"> Februar </w:t>
      </w:r>
      <w:r w:rsidR="00345363" w:rsidRPr="00E708F1">
        <w:rPr>
          <w:rFonts w:cs="Arial"/>
        </w:rPr>
        <w:t>sind</w:t>
      </w:r>
      <w:r w:rsidRPr="00E708F1">
        <w:rPr>
          <w:rFonts w:cs="Arial"/>
        </w:rPr>
        <w:t xml:space="preserve"> zahlreiche Jahresmeldungen </w:t>
      </w:r>
      <w:r w:rsidR="00345363" w:rsidRPr="00E708F1">
        <w:rPr>
          <w:rFonts w:cs="Arial"/>
        </w:rPr>
        <w:t>fällig</w:t>
      </w:r>
      <w:r w:rsidRPr="00E708F1">
        <w:rPr>
          <w:rFonts w:cs="Arial"/>
        </w:rPr>
        <w:t xml:space="preserve">. </w:t>
      </w:r>
      <w:r w:rsidR="00387A35" w:rsidRPr="00E708F1">
        <w:rPr>
          <w:rFonts w:cs="Arial"/>
        </w:rPr>
        <w:t>Damit Sie nicht doch eine Frist übersehen, finden Sie hier eine Übersicht der wichtigsten Termine und Fristen für Februar und März 202</w:t>
      </w:r>
      <w:r w:rsidR="007B3F67">
        <w:rPr>
          <w:rFonts w:cs="Arial"/>
        </w:rPr>
        <w:t>6</w:t>
      </w:r>
      <w:r w:rsidR="00387A35" w:rsidRPr="00E708F1">
        <w:rPr>
          <w:rFonts w:cs="Arial"/>
        </w:rPr>
        <w:t>.</w:t>
      </w:r>
    </w:p>
    <w:bookmarkEnd w:id="22"/>
    <w:p w14:paraId="6CD60992" w14:textId="77777777" w:rsidR="00DF1B13" w:rsidRPr="00E708F1" w:rsidRDefault="00DF1B13" w:rsidP="00F1173A"/>
    <w:p w14:paraId="5C70DFAF" w14:textId="58A8695C" w:rsidR="00A80FA8" w:rsidRPr="00CF2386" w:rsidRDefault="00DF1B13" w:rsidP="00B71DD0">
      <w:pPr>
        <w:spacing w:line="276" w:lineRule="auto"/>
        <w:ind w:right="141"/>
        <w:jc w:val="both"/>
        <w:rPr>
          <w:rFonts w:cs="Arial"/>
          <w:b/>
          <w:kern w:val="28"/>
        </w:rPr>
      </w:pPr>
      <w:r w:rsidRPr="00CF2386">
        <w:rPr>
          <w:rFonts w:cs="Arial"/>
          <w:b/>
          <w:kern w:val="28"/>
        </w:rPr>
        <w:t>1</w:t>
      </w:r>
      <w:r w:rsidR="00CF2386" w:rsidRPr="00CF2386">
        <w:rPr>
          <w:rFonts w:cs="Arial"/>
          <w:b/>
          <w:kern w:val="28"/>
        </w:rPr>
        <w:t>6</w:t>
      </w:r>
      <w:r w:rsidRPr="00CF2386">
        <w:rPr>
          <w:rFonts w:cs="Arial"/>
          <w:b/>
          <w:kern w:val="28"/>
        </w:rPr>
        <w:t>.2.202</w:t>
      </w:r>
      <w:r w:rsidR="00CF2386" w:rsidRPr="00CF2386">
        <w:rPr>
          <w:rFonts w:cs="Arial"/>
          <w:b/>
          <w:kern w:val="28"/>
        </w:rPr>
        <w:t>6</w:t>
      </w:r>
      <w:r w:rsidRPr="00CF2386">
        <w:rPr>
          <w:rFonts w:cs="Arial"/>
          <w:b/>
          <w:kern w:val="28"/>
        </w:rPr>
        <w:t>:</w:t>
      </w:r>
    </w:p>
    <w:p w14:paraId="6A3A19A7" w14:textId="76080081" w:rsidR="00DF1B13" w:rsidRPr="00CF2386" w:rsidRDefault="00DF1B13" w:rsidP="00B71DD0">
      <w:pPr>
        <w:spacing w:line="276" w:lineRule="auto"/>
        <w:ind w:left="284" w:right="141"/>
        <w:jc w:val="both"/>
        <w:rPr>
          <w:rFonts w:cs="Arial"/>
          <w:b/>
          <w:kern w:val="28"/>
          <w:u w:val="single"/>
        </w:rPr>
      </w:pPr>
      <w:r w:rsidRPr="00CF2386">
        <w:rPr>
          <w:rFonts w:cs="Arial"/>
          <w:b/>
          <w:kern w:val="28"/>
          <w:u w:val="single"/>
        </w:rPr>
        <w:t>Registrierkassen Jahresendbeleg</w:t>
      </w:r>
    </w:p>
    <w:p w14:paraId="51F6FFFF" w14:textId="77C5E61B" w:rsidR="00DF1B13" w:rsidRPr="00CF2386" w:rsidRDefault="00DF1B13" w:rsidP="00B71DD0">
      <w:pPr>
        <w:spacing w:line="276" w:lineRule="auto"/>
        <w:ind w:left="284" w:right="141"/>
        <w:jc w:val="both"/>
        <w:rPr>
          <w:rFonts w:cs="Arial"/>
        </w:rPr>
      </w:pPr>
      <w:r w:rsidRPr="00CF2386">
        <w:rPr>
          <w:rFonts w:cs="Arial"/>
        </w:rPr>
        <w:t>Der Dezember-Monatsbeleg ist gleichzeitig</w:t>
      </w:r>
      <w:r w:rsidRPr="00CF2386">
        <w:rPr>
          <w:rFonts w:cs="Arial"/>
          <w:b/>
          <w:bCs/>
        </w:rPr>
        <w:t xml:space="preserve"> </w:t>
      </w:r>
      <w:r w:rsidRPr="00CF2386">
        <w:rPr>
          <w:rFonts w:cs="Arial"/>
        </w:rPr>
        <w:t>auch</w:t>
      </w:r>
      <w:r w:rsidRPr="00CF2386">
        <w:rPr>
          <w:rFonts w:cs="Arial"/>
          <w:b/>
          <w:bCs/>
        </w:rPr>
        <w:t xml:space="preserve"> der Jahresendbeleg.</w:t>
      </w:r>
      <w:r w:rsidRPr="00CF2386">
        <w:rPr>
          <w:rFonts w:cs="Arial"/>
        </w:rPr>
        <w:t xml:space="preserve"> Sie haben daher nach dem letzten getätigten Umsatz </w:t>
      </w:r>
      <w:r w:rsidR="002F0EF1" w:rsidRPr="00CF2386">
        <w:rPr>
          <w:rFonts w:cs="Arial"/>
        </w:rPr>
        <w:t>am</w:t>
      </w:r>
      <w:r w:rsidRPr="00CF2386">
        <w:rPr>
          <w:rFonts w:cs="Arial"/>
        </w:rPr>
        <w:t xml:space="preserve"> 31.12.202</w:t>
      </w:r>
      <w:r w:rsidR="00CF2386" w:rsidRPr="00CF2386">
        <w:rPr>
          <w:rFonts w:cs="Arial"/>
        </w:rPr>
        <w:t>5</w:t>
      </w:r>
      <w:r w:rsidRPr="00CF2386">
        <w:rPr>
          <w:rFonts w:cs="Arial"/>
        </w:rPr>
        <w:t xml:space="preserve"> den </w:t>
      </w:r>
      <w:r w:rsidRPr="00CF2386">
        <w:rPr>
          <w:rFonts w:cs="Arial"/>
          <w:b/>
        </w:rPr>
        <w:t xml:space="preserve">Jahresbeleg </w:t>
      </w:r>
      <w:r w:rsidR="00E91562" w:rsidRPr="00CF2386">
        <w:rPr>
          <w:rFonts w:cs="Arial"/>
          <w:b/>
        </w:rPr>
        <w:t xml:space="preserve">zu </w:t>
      </w:r>
      <w:r w:rsidRPr="00CF2386">
        <w:rPr>
          <w:rFonts w:cs="Arial"/>
          <w:b/>
        </w:rPr>
        <w:t>erstell</w:t>
      </w:r>
      <w:r w:rsidR="00E91562" w:rsidRPr="00CF2386">
        <w:rPr>
          <w:rFonts w:cs="Arial"/>
          <w:b/>
        </w:rPr>
        <w:t>en</w:t>
      </w:r>
      <w:r w:rsidRPr="00CF2386">
        <w:rPr>
          <w:rFonts w:cs="Arial"/>
          <w:b/>
        </w:rPr>
        <w:t xml:space="preserve">. </w:t>
      </w:r>
      <w:r w:rsidRPr="00CF2386">
        <w:rPr>
          <w:rFonts w:cs="Arial"/>
        </w:rPr>
        <w:t xml:space="preserve"> Der Ausdruck ist </w:t>
      </w:r>
      <w:r w:rsidR="00764156" w:rsidRPr="00CF2386">
        <w:rPr>
          <w:rFonts w:cs="Arial"/>
        </w:rPr>
        <w:t>sieben</w:t>
      </w:r>
      <w:r w:rsidRPr="00CF2386">
        <w:rPr>
          <w:rFonts w:cs="Arial"/>
        </w:rPr>
        <w:t xml:space="preserve"> Jahre aufzubewahren sowie</w:t>
      </w:r>
      <w:r w:rsidR="00387A35" w:rsidRPr="00CF2386">
        <w:rPr>
          <w:rFonts w:cs="Arial"/>
        </w:rPr>
        <w:t xml:space="preserve"> </w:t>
      </w:r>
      <w:r w:rsidRPr="00CF2386">
        <w:rPr>
          <w:rFonts w:cs="Arial"/>
        </w:rPr>
        <w:t xml:space="preserve">auf einem externen Datenspeicher zu sichern. Eine </w:t>
      </w:r>
      <w:r w:rsidRPr="00CF2386">
        <w:rPr>
          <w:rFonts w:cs="Arial"/>
          <w:b/>
        </w:rPr>
        <w:t xml:space="preserve">Prüfung des Jahresendbelegs </w:t>
      </w:r>
      <w:r w:rsidRPr="00CF2386">
        <w:rPr>
          <w:rFonts w:cs="Arial"/>
        </w:rPr>
        <w:t>mit Hilfe der</w:t>
      </w:r>
      <w:r w:rsidRPr="00CF2386">
        <w:rPr>
          <w:rFonts w:cs="Arial"/>
          <w:b/>
        </w:rPr>
        <w:t xml:space="preserve"> </w:t>
      </w:r>
      <w:hyperlink r:id="rId13" w:history="1">
        <w:r w:rsidRPr="00CF2386">
          <w:rPr>
            <w:rStyle w:val="Hyperlink"/>
            <w:rFonts w:cs="Arial"/>
          </w:rPr>
          <w:t>Belegcheck-App</w:t>
        </w:r>
      </w:hyperlink>
      <w:r w:rsidRPr="00CF2386">
        <w:rPr>
          <w:rFonts w:cs="Arial"/>
        </w:rPr>
        <w:t xml:space="preserve"> ist</w:t>
      </w:r>
      <w:r w:rsidRPr="00CF2386">
        <w:rPr>
          <w:rFonts w:cs="Arial"/>
          <w:b/>
        </w:rPr>
        <w:t xml:space="preserve"> bis zum 1</w:t>
      </w:r>
      <w:r w:rsidR="00CF2386" w:rsidRPr="00CF2386">
        <w:rPr>
          <w:rFonts w:cs="Arial"/>
          <w:b/>
        </w:rPr>
        <w:t>6</w:t>
      </w:r>
      <w:r w:rsidRPr="00CF2386">
        <w:rPr>
          <w:rFonts w:cs="Arial"/>
          <w:b/>
        </w:rPr>
        <w:t>.2.202</w:t>
      </w:r>
      <w:r w:rsidR="00CF2386" w:rsidRPr="00CF2386">
        <w:rPr>
          <w:rFonts w:cs="Arial"/>
          <w:b/>
        </w:rPr>
        <w:t>6</w:t>
      </w:r>
      <w:r w:rsidRPr="00CF2386">
        <w:rPr>
          <w:rFonts w:cs="Arial"/>
        </w:rPr>
        <w:t xml:space="preserve"> möglich.</w:t>
      </w:r>
    </w:p>
    <w:p w14:paraId="0CAEDD5A" w14:textId="77777777" w:rsidR="00E25976" w:rsidRDefault="00E25976" w:rsidP="00B71DD0">
      <w:pPr>
        <w:spacing w:line="276" w:lineRule="auto"/>
        <w:ind w:left="284" w:right="141"/>
        <w:jc w:val="both"/>
        <w:rPr>
          <w:rFonts w:cs="Arial"/>
          <w:b/>
          <w:bCs/>
          <w:highlight w:val="yellow"/>
          <w:u w:val="single"/>
        </w:rPr>
      </w:pPr>
    </w:p>
    <w:p w14:paraId="4A2428F3" w14:textId="77777777" w:rsidR="00E25976" w:rsidRDefault="00E25976" w:rsidP="00B71DD0">
      <w:pPr>
        <w:spacing w:line="276" w:lineRule="auto"/>
        <w:ind w:left="284" w:right="141"/>
        <w:jc w:val="both"/>
        <w:rPr>
          <w:rFonts w:cs="Arial"/>
          <w:b/>
          <w:bCs/>
          <w:highlight w:val="yellow"/>
          <w:u w:val="single"/>
        </w:rPr>
      </w:pPr>
    </w:p>
    <w:p w14:paraId="0AB87B0F" w14:textId="77777777" w:rsidR="00E25976" w:rsidRPr="000A027B" w:rsidRDefault="00E25976" w:rsidP="00B71DD0">
      <w:pPr>
        <w:spacing w:line="276" w:lineRule="auto"/>
        <w:ind w:left="284" w:right="141"/>
        <w:jc w:val="both"/>
        <w:rPr>
          <w:rFonts w:cs="Arial"/>
          <w:b/>
          <w:bCs/>
          <w:highlight w:val="yellow"/>
          <w:u w:val="single"/>
        </w:rPr>
      </w:pPr>
    </w:p>
    <w:p w14:paraId="1048A7D6" w14:textId="1FA8A938" w:rsidR="00A80FA8" w:rsidRPr="00CF2386" w:rsidRDefault="00A80FA8" w:rsidP="00B71DD0">
      <w:pPr>
        <w:spacing w:line="276" w:lineRule="auto"/>
        <w:ind w:left="284" w:right="141"/>
        <w:jc w:val="both"/>
        <w:rPr>
          <w:rFonts w:cs="Arial"/>
          <w:b/>
          <w:bCs/>
          <w:u w:val="single"/>
        </w:rPr>
      </w:pPr>
      <w:r w:rsidRPr="00CF2386">
        <w:rPr>
          <w:rFonts w:cs="Arial"/>
          <w:b/>
          <w:bCs/>
          <w:u w:val="single"/>
        </w:rPr>
        <w:lastRenderedPageBreak/>
        <w:t>Vorauszahlung für das 1. Quartal 202</w:t>
      </w:r>
      <w:r w:rsidR="00CF2386" w:rsidRPr="00CF2386">
        <w:rPr>
          <w:rFonts w:cs="Arial"/>
          <w:b/>
          <w:bCs/>
          <w:u w:val="single"/>
        </w:rPr>
        <w:t>6</w:t>
      </w:r>
      <w:r w:rsidRPr="00CF2386">
        <w:rPr>
          <w:rFonts w:cs="Arial"/>
          <w:b/>
          <w:bCs/>
          <w:u w:val="single"/>
        </w:rPr>
        <w:t xml:space="preserve"> </w:t>
      </w:r>
      <w:r w:rsidR="00E708F1" w:rsidRPr="00CF2386">
        <w:rPr>
          <w:rFonts w:cs="Arial"/>
          <w:b/>
          <w:bCs/>
          <w:u w:val="single"/>
        </w:rPr>
        <w:t xml:space="preserve">für </w:t>
      </w:r>
      <w:r w:rsidRPr="00CF2386">
        <w:rPr>
          <w:rFonts w:cs="Arial"/>
          <w:b/>
          <w:bCs/>
          <w:u w:val="single"/>
        </w:rPr>
        <w:t>Einkommen- oder Körperschaftsteuer</w:t>
      </w:r>
    </w:p>
    <w:p w14:paraId="037A7295" w14:textId="032748B8" w:rsidR="00A80FA8" w:rsidRPr="00CF2386" w:rsidRDefault="00A80FA8" w:rsidP="00B71DD0">
      <w:pPr>
        <w:spacing w:line="276" w:lineRule="auto"/>
        <w:ind w:left="284" w:right="141"/>
        <w:jc w:val="both"/>
        <w:rPr>
          <w:rFonts w:cs="Arial"/>
        </w:rPr>
      </w:pPr>
      <w:r w:rsidRPr="00CF2386">
        <w:rPr>
          <w:rFonts w:cs="Arial"/>
        </w:rPr>
        <w:t>Basierend auf den ergangenen</w:t>
      </w:r>
      <w:r w:rsidR="00387A35" w:rsidRPr="00F1173A">
        <w:t xml:space="preserve"> </w:t>
      </w:r>
      <w:r w:rsidRPr="00CF2386">
        <w:rPr>
          <w:rFonts w:cs="Arial"/>
        </w:rPr>
        <w:t>Vorauszahlungsbescheid</w:t>
      </w:r>
      <w:r w:rsidR="00450090" w:rsidRPr="00CF2386">
        <w:rPr>
          <w:rFonts w:cs="Arial"/>
        </w:rPr>
        <w:t>en</w:t>
      </w:r>
      <w:r w:rsidRPr="00CF2386">
        <w:rPr>
          <w:rFonts w:cs="Arial"/>
        </w:rPr>
        <w:t xml:space="preserve"> ergehen nun die Benachrichtigungen über die für das Jahr 202</w:t>
      </w:r>
      <w:r w:rsidR="00CF2386" w:rsidRPr="00CF2386">
        <w:rPr>
          <w:rFonts w:cs="Arial"/>
        </w:rPr>
        <w:t>6</w:t>
      </w:r>
      <w:r w:rsidRPr="00CF2386">
        <w:rPr>
          <w:rFonts w:cs="Arial"/>
        </w:rPr>
        <w:t xml:space="preserve"> geltenden Vierteljahresvorauszahlungen. Anlass darüber nachzudenken, wie erfolgversprechend die Planung für 202</w:t>
      </w:r>
      <w:r w:rsidR="00CF2386" w:rsidRPr="00CF2386">
        <w:rPr>
          <w:rFonts w:cs="Arial"/>
        </w:rPr>
        <w:t>6</w:t>
      </w:r>
      <w:r w:rsidRPr="00CF2386">
        <w:rPr>
          <w:rFonts w:cs="Arial"/>
        </w:rPr>
        <w:t xml:space="preserve"> aussieht, und ob eine reduzierte Prognoserechnung dem Finanzamt für eine Herabsetzung der Vorauszahlungen schon aus Liquiditätsüberlegungen vorgelegt werden sollte.</w:t>
      </w:r>
    </w:p>
    <w:p w14:paraId="0BC7BBCC" w14:textId="77777777" w:rsidR="00DF1B13" w:rsidRPr="000A027B" w:rsidRDefault="00DF1B13" w:rsidP="00B71DD0">
      <w:pPr>
        <w:spacing w:line="276" w:lineRule="auto"/>
        <w:ind w:right="141"/>
        <w:jc w:val="both"/>
        <w:rPr>
          <w:rFonts w:cs="Arial"/>
          <w:highlight w:val="yellow"/>
        </w:rPr>
      </w:pPr>
    </w:p>
    <w:p w14:paraId="4BE60946" w14:textId="2693C0A7" w:rsidR="00A80FA8" w:rsidRPr="00CF2386" w:rsidRDefault="00DF1B13" w:rsidP="00B71DD0">
      <w:pPr>
        <w:spacing w:line="276" w:lineRule="auto"/>
        <w:ind w:right="141"/>
        <w:jc w:val="both"/>
        <w:rPr>
          <w:rFonts w:cs="Arial"/>
          <w:b/>
          <w:kern w:val="28"/>
        </w:rPr>
      </w:pPr>
      <w:r w:rsidRPr="00CF2386">
        <w:rPr>
          <w:rFonts w:cs="Arial"/>
          <w:b/>
          <w:kern w:val="28"/>
        </w:rPr>
        <w:t>2</w:t>
      </w:r>
      <w:r w:rsidR="00592640" w:rsidRPr="00CF2386">
        <w:rPr>
          <w:rFonts w:cs="Arial"/>
          <w:b/>
          <w:kern w:val="28"/>
        </w:rPr>
        <w:t>8</w:t>
      </w:r>
      <w:r w:rsidRPr="00CF2386">
        <w:rPr>
          <w:rFonts w:cs="Arial"/>
          <w:b/>
          <w:kern w:val="28"/>
        </w:rPr>
        <w:t>.2.202</w:t>
      </w:r>
      <w:r w:rsidR="00CF2386" w:rsidRPr="00CF2386">
        <w:rPr>
          <w:rFonts w:cs="Arial"/>
          <w:b/>
          <w:kern w:val="28"/>
        </w:rPr>
        <w:t>6</w:t>
      </w:r>
      <w:r w:rsidRPr="00CF2386">
        <w:rPr>
          <w:rFonts w:cs="Arial"/>
          <w:b/>
          <w:kern w:val="28"/>
        </w:rPr>
        <w:t>:</w:t>
      </w:r>
    </w:p>
    <w:p w14:paraId="087C32A4" w14:textId="33B9A5DC" w:rsidR="00DF1B13" w:rsidRPr="00CF2386" w:rsidRDefault="00DF1B13" w:rsidP="00B71DD0">
      <w:pPr>
        <w:spacing w:line="276" w:lineRule="auto"/>
        <w:ind w:right="141" w:firstLine="284"/>
        <w:jc w:val="both"/>
        <w:rPr>
          <w:rFonts w:cs="Arial"/>
          <w:b/>
          <w:kern w:val="28"/>
          <w:u w:val="single"/>
        </w:rPr>
      </w:pPr>
      <w:r w:rsidRPr="00CF2386">
        <w:rPr>
          <w:rFonts w:cs="Arial"/>
          <w:b/>
          <w:kern w:val="28"/>
          <w:u w:val="single"/>
        </w:rPr>
        <w:t>Jahreslohnzettel und weitere Meldungen für Zahlungen im Jahr 202</w:t>
      </w:r>
      <w:r w:rsidR="00CF2386" w:rsidRPr="00CF2386">
        <w:rPr>
          <w:rFonts w:cs="Arial"/>
          <w:b/>
          <w:kern w:val="28"/>
          <w:u w:val="single"/>
        </w:rPr>
        <w:t>5</w:t>
      </w:r>
    </w:p>
    <w:p w14:paraId="1FAF7387" w14:textId="1B0F70C4" w:rsidR="00DF1B13" w:rsidRDefault="00DF1B13" w:rsidP="00B71DD0">
      <w:pPr>
        <w:spacing w:line="276" w:lineRule="auto"/>
        <w:ind w:left="284" w:right="141"/>
        <w:jc w:val="both"/>
        <w:rPr>
          <w:rFonts w:cs="Arial"/>
        </w:rPr>
      </w:pPr>
      <w:r w:rsidRPr="00CF2386">
        <w:rPr>
          <w:rFonts w:cs="Arial"/>
        </w:rPr>
        <w:t>Unternehmer sind verpflichtet, d</w:t>
      </w:r>
      <w:r w:rsidR="002F0EF1" w:rsidRPr="00CF2386">
        <w:rPr>
          <w:rFonts w:cs="Arial"/>
        </w:rPr>
        <w:t>i</w:t>
      </w:r>
      <w:r w:rsidRPr="00CF2386">
        <w:rPr>
          <w:rFonts w:cs="Arial"/>
        </w:rPr>
        <w:t xml:space="preserve">e </w:t>
      </w:r>
      <w:r w:rsidRPr="00CF2386">
        <w:rPr>
          <w:rFonts w:cs="Arial"/>
          <w:b/>
          <w:bCs/>
        </w:rPr>
        <w:t>Jahreslohnzettel 202</w:t>
      </w:r>
      <w:r w:rsidR="00CF2386" w:rsidRPr="00CF2386">
        <w:rPr>
          <w:rFonts w:cs="Arial"/>
          <w:b/>
          <w:bCs/>
        </w:rPr>
        <w:t>5</w:t>
      </w:r>
      <w:r w:rsidRPr="00CF2386">
        <w:rPr>
          <w:rFonts w:cs="Arial"/>
        </w:rPr>
        <w:t xml:space="preserve"> (Formular L16) für ihre Dienstnehmer elektronisch an das Finanzamt zu </w:t>
      </w:r>
      <w:r w:rsidR="00A64FE6" w:rsidRPr="00CF2386">
        <w:rPr>
          <w:rFonts w:cs="Arial"/>
        </w:rPr>
        <w:t>übermitteln</w:t>
      </w:r>
      <w:r w:rsidRPr="00CF2386">
        <w:rPr>
          <w:rFonts w:cs="Arial"/>
        </w:rPr>
        <w:t>. Diese haben alle für die Erhebung der Abgaben maßgebliche</w:t>
      </w:r>
      <w:r w:rsidR="00450090" w:rsidRPr="00CF2386">
        <w:rPr>
          <w:rFonts w:cs="Arial"/>
        </w:rPr>
        <w:t>n</w:t>
      </w:r>
      <w:r w:rsidRPr="00CF2386">
        <w:rPr>
          <w:rFonts w:cs="Arial"/>
        </w:rPr>
        <w:t xml:space="preserve"> Daten zu enthalten. </w:t>
      </w:r>
      <w:r w:rsidR="00CF2386">
        <w:rPr>
          <w:rFonts w:cs="Arial"/>
        </w:rPr>
        <w:t xml:space="preserve">Besonders hervorzuheben ist die Verpflichtung der Meldung über </w:t>
      </w:r>
      <w:r w:rsidRPr="00CF2386">
        <w:rPr>
          <w:rFonts w:cs="Arial"/>
        </w:rPr>
        <w:t xml:space="preserve">die </w:t>
      </w:r>
      <w:r w:rsidRPr="00CF2386">
        <w:rPr>
          <w:rFonts w:cs="Arial"/>
          <w:b/>
          <w:bCs/>
        </w:rPr>
        <w:t>Anzahl der Homeoffice-Tage</w:t>
      </w:r>
      <w:r w:rsidRPr="00CF2386">
        <w:rPr>
          <w:rFonts w:cs="Arial"/>
        </w:rPr>
        <w:t xml:space="preserve"> sowie ein</w:t>
      </w:r>
      <w:r w:rsidR="00263CD3" w:rsidRPr="00CF2386">
        <w:rPr>
          <w:rFonts w:cs="Arial"/>
        </w:rPr>
        <w:t xml:space="preserve"> </w:t>
      </w:r>
      <w:r w:rsidRPr="00CF2386">
        <w:rPr>
          <w:rFonts w:cs="Arial"/>
        </w:rPr>
        <w:t>allfällig</w:t>
      </w:r>
      <w:r w:rsidR="00387A35" w:rsidRPr="00CF2386">
        <w:rPr>
          <w:rFonts w:cs="Arial"/>
        </w:rPr>
        <w:t xml:space="preserve"> </w:t>
      </w:r>
      <w:r w:rsidRPr="00CF2386">
        <w:rPr>
          <w:rFonts w:cs="Arial"/>
          <w:b/>
          <w:bCs/>
        </w:rPr>
        <w:t>ausbezahltes</w:t>
      </w:r>
      <w:r w:rsidRPr="00CF2386">
        <w:rPr>
          <w:rFonts w:cs="Arial"/>
        </w:rPr>
        <w:t xml:space="preserve"> </w:t>
      </w:r>
      <w:r w:rsidRPr="00CF2386">
        <w:rPr>
          <w:rFonts w:cs="Arial"/>
          <w:b/>
          <w:bCs/>
        </w:rPr>
        <w:t>Homeoffice-Pauschale</w:t>
      </w:r>
      <w:r w:rsidRPr="00CF2386">
        <w:rPr>
          <w:rFonts w:cs="Arial"/>
        </w:rPr>
        <w:t xml:space="preserve"> und die Anzahl der Kalendermonate, in welchen der Arbeitnehmer überwiegend (mehr als die Hälfte der Arbeitstage im Lohnzahlungszeitraum) auf Kosten </w:t>
      </w:r>
      <w:r w:rsidR="00263CD3" w:rsidRPr="00CF2386">
        <w:rPr>
          <w:rFonts w:cs="Arial"/>
        </w:rPr>
        <w:t xml:space="preserve">des </w:t>
      </w:r>
      <w:r w:rsidRPr="00CF2386">
        <w:rPr>
          <w:rFonts w:cs="Arial"/>
        </w:rPr>
        <w:t>Arbeitgebers befördert wurde</w:t>
      </w:r>
      <w:r w:rsidR="00866A71">
        <w:rPr>
          <w:rFonts w:cs="Arial"/>
        </w:rPr>
        <w:t>. Zu melden sind auch</w:t>
      </w:r>
      <w:r w:rsidRPr="00CF2386">
        <w:rPr>
          <w:rFonts w:cs="Arial"/>
        </w:rPr>
        <w:t xml:space="preserve"> vom Arbeitgeber übernommene </w:t>
      </w:r>
      <w:r w:rsidRPr="00CF2386">
        <w:rPr>
          <w:rFonts w:cs="Arial"/>
          <w:b/>
          <w:bCs/>
        </w:rPr>
        <w:t>Kosten für ein Öffi</w:t>
      </w:r>
      <w:r w:rsidR="00F61AE3" w:rsidRPr="00CF2386">
        <w:rPr>
          <w:rFonts w:cs="Arial"/>
          <w:b/>
          <w:bCs/>
        </w:rPr>
        <w:t>-</w:t>
      </w:r>
      <w:r w:rsidRPr="00CF2386">
        <w:rPr>
          <w:rFonts w:cs="Arial"/>
          <w:b/>
          <w:bCs/>
        </w:rPr>
        <w:t>Ticket</w:t>
      </w:r>
      <w:r w:rsidRPr="00CF2386">
        <w:rPr>
          <w:rFonts w:cs="Arial"/>
        </w:rPr>
        <w:t>.</w:t>
      </w:r>
    </w:p>
    <w:p w14:paraId="33A5EED5" w14:textId="03B154FA" w:rsidR="000D6A7B" w:rsidRPr="00CF2386" w:rsidRDefault="000D6A7B" w:rsidP="007B3F67">
      <w:pPr>
        <w:shd w:val="clear" w:color="auto" w:fill="B8CCE4" w:themeFill="accent1" w:themeFillTint="66"/>
        <w:spacing w:line="276" w:lineRule="auto"/>
        <w:ind w:left="284" w:right="141"/>
        <w:jc w:val="both"/>
        <w:rPr>
          <w:rFonts w:cs="Arial"/>
        </w:rPr>
      </w:pPr>
      <w:r w:rsidRPr="000D6A7B">
        <w:rPr>
          <w:rFonts w:cs="Arial"/>
          <w:b/>
          <w:bCs/>
          <w:u w:val="single"/>
        </w:rPr>
        <w:t>Hinweis</w:t>
      </w:r>
      <w:r>
        <w:rPr>
          <w:rFonts w:cs="Arial"/>
        </w:rPr>
        <w:t>: Da der 28.2.2026 ein Samstag ist, endet die Frist für bestimmte ELDA-Meldungen am 2.3.2026.</w:t>
      </w:r>
    </w:p>
    <w:p w14:paraId="3A6856CD" w14:textId="77777777" w:rsidR="002A0339" w:rsidRPr="000A027B" w:rsidRDefault="002A0339" w:rsidP="00B71DD0">
      <w:pPr>
        <w:spacing w:line="276" w:lineRule="auto"/>
        <w:ind w:left="284" w:right="141" w:hanging="284"/>
        <w:jc w:val="both"/>
        <w:rPr>
          <w:rFonts w:cs="Arial"/>
          <w:highlight w:val="yellow"/>
        </w:rPr>
      </w:pPr>
    </w:p>
    <w:p w14:paraId="175AF641" w14:textId="51CF6526" w:rsidR="0000184A" w:rsidRPr="00867CE4" w:rsidRDefault="00BA7F36" w:rsidP="004D2CA0">
      <w:pPr>
        <w:spacing w:line="276" w:lineRule="auto"/>
        <w:ind w:right="141" w:firstLine="284"/>
        <w:jc w:val="both"/>
        <w:rPr>
          <w:rFonts w:cs="Arial"/>
          <w:b/>
          <w:bCs/>
          <w:u w:val="single"/>
          <w:lang w:val="de-DE"/>
        </w:rPr>
      </w:pPr>
      <w:r w:rsidRPr="00867CE4">
        <w:rPr>
          <w:rFonts w:cs="Arial"/>
          <w:b/>
          <w:bCs/>
          <w:u w:val="single"/>
          <w:lang w:val="de-DE"/>
        </w:rPr>
        <w:t xml:space="preserve">Meldung pauschaler Reiseaufwandsentschädigungen </w:t>
      </w:r>
      <w:r w:rsidR="0000184A" w:rsidRPr="00867CE4">
        <w:rPr>
          <w:rFonts w:cs="Arial"/>
          <w:b/>
          <w:bCs/>
          <w:u w:val="single"/>
          <w:lang w:val="de-DE"/>
        </w:rPr>
        <w:t>für Sportler und Betreuer</w:t>
      </w:r>
    </w:p>
    <w:p w14:paraId="432A6AE7" w14:textId="44791E90" w:rsidR="00BA7F36" w:rsidRPr="00867CE4" w:rsidRDefault="0000184A" w:rsidP="00BA7F36">
      <w:pPr>
        <w:spacing w:line="276" w:lineRule="auto"/>
        <w:ind w:left="284" w:right="141"/>
        <w:jc w:val="both"/>
        <w:rPr>
          <w:rFonts w:cs="Arial"/>
          <w:lang w:val="de-DE"/>
        </w:rPr>
      </w:pPr>
      <w:r w:rsidRPr="00867CE4">
        <w:rPr>
          <w:rFonts w:cs="Arial"/>
          <w:lang w:val="de-DE"/>
        </w:rPr>
        <w:t>Pauschale Reiseaufwandsentschädigungen</w:t>
      </w:r>
      <w:r w:rsidR="00867CE4" w:rsidRPr="00867CE4">
        <w:rPr>
          <w:rFonts w:cs="Arial"/>
          <w:lang w:val="de-DE"/>
        </w:rPr>
        <w:t xml:space="preserve"> (PRAE)</w:t>
      </w:r>
      <w:r w:rsidRPr="00867CE4">
        <w:rPr>
          <w:rFonts w:cs="Arial"/>
          <w:lang w:val="de-DE"/>
        </w:rPr>
        <w:t>, die von Sportvereinen an Sportler, Betreuer (</w:t>
      </w:r>
      <w:r w:rsidR="002E3F81" w:rsidRPr="00867CE4">
        <w:rPr>
          <w:rFonts w:cs="Arial"/>
          <w:lang w:val="de-DE"/>
        </w:rPr>
        <w:t xml:space="preserve">z.B. </w:t>
      </w:r>
      <w:r w:rsidRPr="00867CE4">
        <w:rPr>
          <w:rFonts w:cs="Arial"/>
          <w:lang w:val="de-DE"/>
        </w:rPr>
        <w:t>Trainer, Übungsleiter, Masseure, Zeugwarte) oder Schiedsrichter gezahlt werden, sind</w:t>
      </w:r>
      <w:r w:rsidR="00BA7F36" w:rsidRPr="00867CE4">
        <w:rPr>
          <w:rFonts w:cs="Arial"/>
          <w:lang w:val="de-DE"/>
        </w:rPr>
        <w:t xml:space="preserve"> bis zu einem Betrag von </w:t>
      </w:r>
      <w:r w:rsidR="00BA7F36" w:rsidRPr="00867CE4">
        <w:rPr>
          <w:rFonts w:cs="Arial"/>
          <w:b/>
          <w:bCs/>
          <w:lang w:val="de-DE"/>
        </w:rPr>
        <w:t>€ 120</w:t>
      </w:r>
      <w:r w:rsidR="00BA7F36" w:rsidRPr="00867CE4">
        <w:rPr>
          <w:rFonts w:cs="Arial"/>
          <w:lang w:val="de-DE"/>
        </w:rPr>
        <w:t xml:space="preserve"> pro Trainings- oder Einsatztag, </w:t>
      </w:r>
      <w:r w:rsidR="00BA7F36" w:rsidRPr="00867CE4">
        <w:rPr>
          <w:rFonts w:cs="Arial"/>
          <w:b/>
          <w:bCs/>
          <w:lang w:val="de-DE"/>
        </w:rPr>
        <w:t xml:space="preserve">höchstens € 720 pro Monat </w:t>
      </w:r>
      <w:r w:rsidR="00BA7F36" w:rsidRPr="00867CE4">
        <w:rPr>
          <w:rFonts w:cs="Arial"/>
          <w:lang w:val="de-DE"/>
        </w:rPr>
        <w:t>steuerfrei</w:t>
      </w:r>
      <w:r w:rsidR="00BA7F36" w:rsidRPr="00867CE4">
        <w:rPr>
          <w:rFonts w:cs="Arial"/>
          <w:b/>
          <w:bCs/>
          <w:lang w:val="de-DE"/>
        </w:rPr>
        <w:t>.</w:t>
      </w:r>
      <w:r w:rsidR="00867CE4">
        <w:rPr>
          <w:rFonts w:cs="Arial"/>
          <w:b/>
          <w:bCs/>
          <w:lang w:val="de-DE"/>
        </w:rPr>
        <w:t xml:space="preserve"> </w:t>
      </w:r>
      <w:r w:rsidR="00867CE4" w:rsidRPr="00867CE4">
        <w:rPr>
          <w:rFonts w:cs="Arial"/>
          <w:lang w:val="de-DE"/>
        </w:rPr>
        <w:t>Dafür ist das amtliche Formu</w:t>
      </w:r>
      <w:r w:rsidR="00867CE4">
        <w:rPr>
          <w:rFonts w:cs="Arial"/>
          <w:lang w:val="de-DE"/>
        </w:rPr>
        <w:t>l</w:t>
      </w:r>
      <w:r w:rsidR="00867CE4" w:rsidRPr="00867CE4">
        <w:rPr>
          <w:rFonts w:cs="Arial"/>
          <w:lang w:val="de-DE"/>
        </w:rPr>
        <w:t>ar L19 vorgesehen.</w:t>
      </w:r>
    </w:p>
    <w:p w14:paraId="4FAA4FA8" w14:textId="6BEA7E04" w:rsidR="0000184A" w:rsidRPr="00867CE4" w:rsidRDefault="0000184A" w:rsidP="00BA7F36">
      <w:pPr>
        <w:spacing w:line="276" w:lineRule="auto"/>
        <w:ind w:left="284" w:right="141"/>
        <w:jc w:val="both"/>
        <w:rPr>
          <w:rFonts w:cs="Arial"/>
          <w:lang w:val="de-DE"/>
        </w:rPr>
      </w:pPr>
      <w:r w:rsidRPr="00867CE4">
        <w:rPr>
          <w:rFonts w:cs="Arial"/>
          <w:lang w:val="de-DE"/>
        </w:rPr>
        <w:t xml:space="preserve">Werden die Reiseaufwandsentschädigungen im Rahmen einer nichtselbständigen Tätigkeit ausbezahlt, </w:t>
      </w:r>
      <w:r w:rsidR="00867CE4">
        <w:rPr>
          <w:rFonts w:cs="Arial"/>
          <w:lang w:val="de-DE"/>
        </w:rPr>
        <w:t xml:space="preserve">sind die Reiseaufwandsentschädigungen gleich im Formular L16 mitzuberücksichtigen. </w:t>
      </w:r>
      <w:r w:rsidR="00EF47D7" w:rsidRPr="00867CE4">
        <w:rPr>
          <w:rFonts w:cs="Arial"/>
          <w:b/>
          <w:bCs/>
        </w:rPr>
        <w:t>Keine Mitteilungspflicht</w:t>
      </w:r>
      <w:r w:rsidR="00867CE4">
        <w:rPr>
          <w:rFonts w:cs="Arial"/>
        </w:rPr>
        <w:t xml:space="preserve"> f</w:t>
      </w:r>
      <w:r w:rsidR="00EF47D7" w:rsidRPr="00867CE4">
        <w:rPr>
          <w:rFonts w:cs="Arial"/>
        </w:rPr>
        <w:t>ür pauschale Reiseaufwandsentschädigungen besteht hingegen, wenn</w:t>
      </w:r>
      <w:r w:rsidR="00867CE4">
        <w:rPr>
          <w:rFonts w:cs="Arial"/>
        </w:rPr>
        <w:t xml:space="preserve"> </w:t>
      </w:r>
      <w:r w:rsidR="00EF47D7" w:rsidRPr="00867CE4">
        <w:rPr>
          <w:rFonts w:cs="Arial"/>
          <w:b/>
          <w:bCs/>
        </w:rPr>
        <w:t>selbständige Einkünfte</w:t>
      </w:r>
      <w:r w:rsidR="00867CE4">
        <w:rPr>
          <w:rFonts w:cs="Arial"/>
        </w:rPr>
        <w:t xml:space="preserve"> </w:t>
      </w:r>
      <w:r w:rsidR="00EF47D7" w:rsidRPr="00867CE4">
        <w:rPr>
          <w:rFonts w:cs="Arial"/>
        </w:rPr>
        <w:t>vorliegen (z. B. Schiedsrichter mit Einkünften aus Gewerbebetrieb).</w:t>
      </w:r>
    </w:p>
    <w:p w14:paraId="53BEB4B3" w14:textId="77777777" w:rsidR="0000184A" w:rsidRPr="000A027B" w:rsidRDefault="0000184A" w:rsidP="0000184A">
      <w:pPr>
        <w:spacing w:line="276" w:lineRule="auto"/>
        <w:ind w:right="141"/>
        <w:jc w:val="both"/>
        <w:rPr>
          <w:rFonts w:cs="Arial"/>
          <w:highlight w:val="yellow"/>
          <w:lang w:val="de-DE"/>
        </w:rPr>
      </w:pPr>
    </w:p>
    <w:p w14:paraId="29EF8510" w14:textId="77777777" w:rsidR="001B4BF0" w:rsidRPr="00CF2386" w:rsidRDefault="001B4BF0" w:rsidP="00EE68A7">
      <w:pPr>
        <w:spacing w:line="276" w:lineRule="auto"/>
        <w:ind w:left="284" w:right="141"/>
        <w:jc w:val="both"/>
        <w:rPr>
          <w:rFonts w:cs="Arial"/>
        </w:rPr>
      </w:pPr>
      <w:r w:rsidRPr="00CF2386">
        <w:rPr>
          <w:rFonts w:cs="Arial"/>
        </w:rPr>
        <w:t xml:space="preserve">Meldung über Zahlungen </w:t>
      </w:r>
      <w:r w:rsidR="00DF1B13" w:rsidRPr="00CF2386">
        <w:rPr>
          <w:rFonts w:cs="Arial"/>
        </w:rPr>
        <w:t>für bestimmte Leistungen an andere Personen, die außerhalb eines Dienstverhältnisses geleistet werden</w:t>
      </w:r>
      <w:r w:rsidRPr="00CF2386">
        <w:rPr>
          <w:rFonts w:cs="Arial"/>
        </w:rPr>
        <w:t>:</w:t>
      </w:r>
    </w:p>
    <w:p w14:paraId="3DE88EF9" w14:textId="75966562" w:rsidR="002A0339" w:rsidRPr="00CF2386" w:rsidRDefault="00DF1B13" w:rsidP="001E0EBF">
      <w:pPr>
        <w:pStyle w:val="AufzhlungenKlifonichtfett"/>
        <w:rPr>
          <w:bCs/>
        </w:rPr>
      </w:pPr>
      <w:r w:rsidRPr="00CF2386">
        <w:t xml:space="preserve">Eine </w:t>
      </w:r>
      <w:r w:rsidRPr="00CF2386">
        <w:rPr>
          <w:b/>
          <w:u w:val="single"/>
        </w:rPr>
        <w:t xml:space="preserve">Meldung </w:t>
      </w:r>
      <w:r w:rsidR="00B71DD0" w:rsidRPr="00CF2386">
        <w:rPr>
          <w:b/>
          <w:u w:val="single"/>
        </w:rPr>
        <w:t>gem.</w:t>
      </w:r>
      <w:r w:rsidRPr="00CF2386">
        <w:rPr>
          <w:b/>
          <w:u w:val="single"/>
        </w:rPr>
        <w:t xml:space="preserve"> § 109a EStG</w:t>
      </w:r>
      <w:r w:rsidRPr="00CF2386">
        <w:t xml:space="preserve"> ist für erbrachte Leistungen außerhalb eines Dienstverhältnisses</w:t>
      </w:r>
      <w:r w:rsidR="00CF2386">
        <w:t xml:space="preserve"> </w:t>
      </w:r>
      <w:r w:rsidR="00CF2386" w:rsidRPr="00CF2386">
        <w:rPr>
          <w:bCs/>
        </w:rPr>
        <w:t>zu</w:t>
      </w:r>
      <w:r w:rsidR="00CF2386" w:rsidRPr="00CF2386">
        <w:rPr>
          <w:b/>
        </w:rPr>
        <w:t xml:space="preserve"> </w:t>
      </w:r>
      <w:r w:rsidR="00CF2386" w:rsidRPr="00CF2386">
        <w:rPr>
          <w:bCs/>
        </w:rPr>
        <w:t>erstatten</w:t>
      </w:r>
      <w:r w:rsidR="00CF2386">
        <w:rPr>
          <w:bCs/>
        </w:rPr>
        <w:t xml:space="preserve">. Diese sind </w:t>
      </w:r>
      <w:r w:rsidR="00CF2386">
        <w:t>beispielsweise Leistungen von</w:t>
      </w:r>
      <w:r w:rsidRPr="00CF2386">
        <w:t xml:space="preserve"> Aufsichtsräte</w:t>
      </w:r>
      <w:r w:rsidR="00CF2386">
        <w:t>n</w:t>
      </w:r>
      <w:r w:rsidRPr="00CF2386">
        <w:t>, Stiftungsvorstände</w:t>
      </w:r>
      <w:r w:rsidR="00CF2386">
        <w:t>n</w:t>
      </w:r>
      <w:r w:rsidRPr="00CF2386">
        <w:t>, Versicherungsvertreter</w:t>
      </w:r>
      <w:r w:rsidR="00CF2386">
        <w:t>n</w:t>
      </w:r>
      <w:r w:rsidRPr="00CF2386">
        <w:t>, Zeitungskolpo</w:t>
      </w:r>
      <w:r w:rsidR="00B71DD0" w:rsidRPr="00CF2386">
        <w:t>r</w:t>
      </w:r>
      <w:r w:rsidRPr="00CF2386">
        <w:t>teure</w:t>
      </w:r>
      <w:r w:rsidR="00CF2386">
        <w:t>n</w:t>
      </w:r>
      <w:r w:rsidRPr="00CF2386">
        <w:t xml:space="preserve">, </w:t>
      </w:r>
      <w:r w:rsidRPr="00CF2386">
        <w:rPr>
          <w:b/>
        </w:rPr>
        <w:t>Vortragende</w:t>
      </w:r>
      <w:r w:rsidR="00CF2386">
        <w:rPr>
          <w:b/>
        </w:rPr>
        <w:t xml:space="preserve">n, </w:t>
      </w:r>
      <w:r w:rsidRPr="00CF2386">
        <w:rPr>
          <w:bCs/>
        </w:rPr>
        <w:t>Funktionäre</w:t>
      </w:r>
      <w:r w:rsidR="00CF2386">
        <w:rPr>
          <w:bCs/>
        </w:rPr>
        <w:t>n</w:t>
      </w:r>
      <w:r w:rsidRPr="00CF2386">
        <w:t xml:space="preserve"> von öffentlich-recht</w:t>
      </w:r>
      <w:r w:rsidR="00CF2386">
        <w:softHyphen/>
      </w:r>
      <w:r w:rsidRPr="00CF2386">
        <w:t xml:space="preserve">lichen Körperschaften oder </w:t>
      </w:r>
      <w:r w:rsidR="00CF2386">
        <w:t xml:space="preserve">von </w:t>
      </w:r>
      <w:r w:rsidRPr="00CF2386">
        <w:rPr>
          <w:b/>
        </w:rPr>
        <w:t>freie</w:t>
      </w:r>
      <w:r w:rsidR="00CF2386">
        <w:rPr>
          <w:b/>
        </w:rPr>
        <w:t>n</w:t>
      </w:r>
      <w:r w:rsidRPr="00CF2386">
        <w:rPr>
          <w:b/>
        </w:rPr>
        <w:t xml:space="preserve"> Dienstnehmer</w:t>
      </w:r>
      <w:r w:rsidR="00CF2386">
        <w:rPr>
          <w:b/>
        </w:rPr>
        <w:t>n</w:t>
      </w:r>
      <w:r w:rsidRPr="00CF2386">
        <w:rPr>
          <w:bCs/>
        </w:rPr>
        <w:t>. Diese</w:t>
      </w:r>
      <w:r w:rsidR="00CF2386">
        <w:rPr>
          <w:bCs/>
        </w:rPr>
        <w:t xml:space="preserve"> Meldung</w:t>
      </w:r>
      <w:r w:rsidRPr="00CF2386">
        <w:rPr>
          <w:bCs/>
        </w:rPr>
        <w:t xml:space="preserve"> </w:t>
      </w:r>
      <w:r w:rsidRPr="00CF2386">
        <w:t>kann unterbleiben, wenn das Gesamtentgelt (inkl</w:t>
      </w:r>
      <w:r w:rsidR="00DB4078" w:rsidRPr="00CF2386">
        <w:t xml:space="preserve">usive </w:t>
      </w:r>
      <w:proofErr w:type="spellStart"/>
      <w:r w:rsidRPr="00CF2386">
        <w:rPr>
          <w:bCs/>
        </w:rPr>
        <w:t>Reisekostenersätze</w:t>
      </w:r>
      <w:proofErr w:type="spellEnd"/>
      <w:r w:rsidRPr="00CF2386">
        <w:rPr>
          <w:bCs/>
        </w:rPr>
        <w:t xml:space="preserve">) für das Kalenderjahr nicht mehr als </w:t>
      </w:r>
      <w:r w:rsidRPr="00CF2386">
        <w:rPr>
          <w:b/>
          <w:bCs/>
        </w:rPr>
        <w:t>€ 900</w:t>
      </w:r>
      <w:r w:rsidRPr="00CF2386">
        <w:rPr>
          <w:bCs/>
        </w:rPr>
        <w:t xml:space="preserve"> pro Person bzw</w:t>
      </w:r>
      <w:r w:rsidR="00440DFE" w:rsidRPr="00CF2386">
        <w:rPr>
          <w:bCs/>
        </w:rPr>
        <w:t>.</w:t>
      </w:r>
      <w:r w:rsidRPr="00CF2386">
        <w:rPr>
          <w:bCs/>
        </w:rPr>
        <w:t xml:space="preserve"> Personenvereinigung beträgt. Das Entgelt für jede </w:t>
      </w:r>
      <w:r w:rsidRPr="00CF2386">
        <w:rPr>
          <w:b/>
          <w:bCs/>
        </w:rPr>
        <w:t xml:space="preserve">einzelne Leistung </w:t>
      </w:r>
      <w:r w:rsidRPr="00CF2386">
        <w:rPr>
          <w:bCs/>
        </w:rPr>
        <w:t>darf</w:t>
      </w:r>
      <w:r w:rsidRPr="00CF2386">
        <w:rPr>
          <w:b/>
          <w:bCs/>
        </w:rPr>
        <w:t xml:space="preserve"> € 450</w:t>
      </w:r>
      <w:r w:rsidRPr="00CF2386">
        <w:rPr>
          <w:bCs/>
        </w:rPr>
        <w:t xml:space="preserve"> nicht übersteigen</w:t>
      </w:r>
      <w:r w:rsidR="00375167" w:rsidRPr="00CF2386">
        <w:rPr>
          <w:bCs/>
        </w:rPr>
        <w:t xml:space="preserve"> </w:t>
      </w:r>
      <w:hyperlink r:id="rId14" w:history="1">
        <w:r w:rsidR="00375167" w:rsidRPr="00CF2386">
          <w:rPr>
            <w:rStyle w:val="Hyperlink"/>
            <w:bCs/>
          </w:rPr>
          <w:t>[Formular E 109a</w:t>
        </w:r>
      </w:hyperlink>
      <w:r w:rsidR="00375167" w:rsidRPr="00CF2386">
        <w:rPr>
          <w:bCs/>
        </w:rPr>
        <w:t>].</w:t>
      </w:r>
    </w:p>
    <w:p w14:paraId="2C33CA72" w14:textId="22A9AD42" w:rsidR="00375167" w:rsidRPr="00CF2386" w:rsidRDefault="00375167" w:rsidP="00EE68A7">
      <w:pPr>
        <w:pStyle w:val="Listenabsatz"/>
        <w:spacing w:line="276" w:lineRule="auto"/>
        <w:ind w:left="567" w:right="141"/>
        <w:jc w:val="both"/>
        <w:rPr>
          <w:rFonts w:cs="Arial"/>
          <w:bCs/>
        </w:rPr>
      </w:pPr>
      <w:r w:rsidRPr="00CF2386">
        <w:rPr>
          <w:rFonts w:cs="Arial"/>
          <w:bCs/>
        </w:rPr>
        <w:t>Ein Verstoß stellt eine Finanzordnungswidrigkeit dar, die mit einer Höchststrafe von €</w:t>
      </w:r>
      <w:r w:rsidR="00915F8E" w:rsidRPr="00CF2386">
        <w:rPr>
          <w:rFonts w:cs="Arial"/>
          <w:bCs/>
        </w:rPr>
        <w:t> </w:t>
      </w:r>
      <w:r w:rsidRPr="00CF2386">
        <w:rPr>
          <w:rFonts w:cs="Arial"/>
          <w:bCs/>
        </w:rPr>
        <w:t>5.000 bedroht ist.</w:t>
      </w:r>
    </w:p>
    <w:p w14:paraId="38692CBC" w14:textId="4DE2C6C5" w:rsidR="00AB17D9" w:rsidRPr="00CF2386" w:rsidRDefault="00DF1B13" w:rsidP="001E0EBF">
      <w:pPr>
        <w:pStyle w:val="AufzhlungenKlifonichtfett"/>
      </w:pPr>
      <w:r w:rsidRPr="004D2CA0">
        <w:rPr>
          <w:u w:val="single"/>
        </w:rPr>
        <w:t xml:space="preserve">Mitteilungen bei </w:t>
      </w:r>
      <w:r w:rsidRPr="004D2CA0">
        <w:rPr>
          <w:b/>
          <w:u w:val="single"/>
        </w:rPr>
        <w:t>Auslandszahlungen</w:t>
      </w:r>
      <w:r w:rsidRPr="004D2CA0">
        <w:rPr>
          <w:u w:val="single"/>
        </w:rPr>
        <w:t xml:space="preserve"> </w:t>
      </w:r>
      <w:r w:rsidRPr="004D2CA0">
        <w:rPr>
          <w:b/>
          <w:u w:val="single"/>
        </w:rPr>
        <w:t>gem</w:t>
      </w:r>
      <w:r w:rsidR="00B71DD0" w:rsidRPr="004D2CA0">
        <w:rPr>
          <w:b/>
          <w:u w:val="single"/>
        </w:rPr>
        <w:t>.</w:t>
      </w:r>
      <w:r w:rsidRPr="004D2CA0">
        <w:rPr>
          <w:b/>
          <w:u w:val="single"/>
        </w:rPr>
        <w:t xml:space="preserve"> § 109b</w:t>
      </w:r>
      <w:r w:rsidRPr="004D2CA0">
        <w:rPr>
          <w:u w:val="single"/>
        </w:rPr>
        <w:t xml:space="preserve"> </w:t>
      </w:r>
      <w:r w:rsidRPr="004D2CA0">
        <w:rPr>
          <w:b/>
          <w:u w:val="single"/>
        </w:rPr>
        <w:t>EStG</w:t>
      </w:r>
      <w:r w:rsidRPr="00CF2386">
        <w:t xml:space="preserve"> betreffen Zahlungen ins Ausland </w:t>
      </w:r>
      <w:r w:rsidRPr="00CF2386">
        <w:rPr>
          <w:b/>
        </w:rPr>
        <w:t xml:space="preserve">für im Inland ausgeübte Leistungen aus selbständiger Arbeit </w:t>
      </w:r>
      <w:r w:rsidRPr="00CF2386">
        <w:t>(z</w:t>
      </w:r>
      <w:r w:rsidR="00440DFE" w:rsidRPr="00CF2386">
        <w:t>.</w:t>
      </w:r>
      <w:r w:rsidRPr="00CF2386">
        <w:t>B</w:t>
      </w:r>
      <w:r w:rsidR="00440DFE" w:rsidRPr="00CF2386">
        <w:t>.</w:t>
      </w:r>
      <w:r w:rsidRPr="00CF2386">
        <w:t xml:space="preserve"> Rechtsanwalt, Steuerberater, wesentlich beteiligter Gesellschafter-Geschäftsführer). Weiters sind Auslandszahlungen bei </w:t>
      </w:r>
      <w:r w:rsidRPr="00CF2386">
        <w:rPr>
          <w:b/>
        </w:rPr>
        <w:t>Vermittlungsleistungen</w:t>
      </w:r>
      <w:r w:rsidRPr="00CF2386">
        <w:t xml:space="preserve">, die von unbeschränkt </w:t>
      </w:r>
      <w:proofErr w:type="spellStart"/>
      <w:r w:rsidRPr="00CF2386">
        <w:t>Steuerpflichtigen</w:t>
      </w:r>
      <w:proofErr w:type="spellEnd"/>
      <w:r w:rsidRPr="00CF2386">
        <w:t xml:space="preserve"> erbracht werden oder sich auf das Inland beziehen, sowie bei </w:t>
      </w:r>
      <w:r w:rsidRPr="00CF2386">
        <w:rPr>
          <w:b/>
        </w:rPr>
        <w:t>kaufmännischer und technischer Beratung</w:t>
      </w:r>
      <w:r w:rsidRPr="00CF2386">
        <w:t xml:space="preserve"> im Inland (z</w:t>
      </w:r>
      <w:r w:rsidR="00440DFE" w:rsidRPr="00CF2386">
        <w:t>.</w:t>
      </w:r>
      <w:r w:rsidRPr="00CF2386">
        <w:t>B</w:t>
      </w:r>
      <w:r w:rsidR="00440DFE" w:rsidRPr="00CF2386">
        <w:t>.</w:t>
      </w:r>
      <w:r w:rsidRPr="00CF2386">
        <w:t xml:space="preserve"> Konsulent) zu melden. Diese Regelung zielt auf die Erfassung von Zahlungen ins Ausland ab, unabhängig davon, ob sie an unbeschränkt oder beschränkt Steuerpflichtige erfolgt</w:t>
      </w:r>
      <w:r w:rsidR="002D5EB6" w:rsidRPr="00CF2386">
        <w:t>en</w:t>
      </w:r>
      <w:r w:rsidRPr="00CF2386">
        <w:t xml:space="preserve"> bzw</w:t>
      </w:r>
      <w:r w:rsidR="00CF2386">
        <w:t>.</w:t>
      </w:r>
      <w:r w:rsidRPr="00CF2386">
        <w:t xml:space="preserve"> ob eine Freistellung durch ein D</w:t>
      </w:r>
      <w:r w:rsidR="00F61AE3" w:rsidRPr="00CF2386">
        <w:t xml:space="preserve">oppelbesteuerungsabkommen </w:t>
      </w:r>
      <w:r w:rsidRPr="00CF2386">
        <w:t xml:space="preserve">vorliegt. Die Mitteilung kann unterbleiben, wenn die Zahlung an den einzelnen Leistungserbringer </w:t>
      </w:r>
      <w:r w:rsidRPr="00CF2386">
        <w:rPr>
          <w:b/>
        </w:rPr>
        <w:t>€</w:t>
      </w:r>
      <w:r w:rsidR="00483FA5" w:rsidRPr="00CF2386">
        <w:rPr>
          <w:b/>
        </w:rPr>
        <w:t xml:space="preserve"> </w:t>
      </w:r>
      <w:r w:rsidRPr="00CF2386">
        <w:rPr>
          <w:b/>
        </w:rPr>
        <w:t>100.000</w:t>
      </w:r>
      <w:r w:rsidRPr="00CF2386">
        <w:t xml:space="preserve"> nicht übersteigt, ein Steuerabzug bei beschränkt Steuerpflichtigen erfolg</w:t>
      </w:r>
      <w:r w:rsidR="002D5EB6" w:rsidRPr="00CF2386">
        <w:t>t</w:t>
      </w:r>
      <w:r w:rsidRPr="00CF2386">
        <w:t xml:space="preserve">e oder die Zahlung an eine ausländische Körperschaft geleistet wurde, die zumindest </w:t>
      </w:r>
      <w:r w:rsidR="002E3F81" w:rsidRPr="00EF47D7">
        <w:t xml:space="preserve">einem </w:t>
      </w:r>
      <w:r w:rsidRPr="00EF47D7">
        <w:t xml:space="preserve">Steuersatz </w:t>
      </w:r>
      <w:r w:rsidR="002E3F81" w:rsidRPr="00EF47D7">
        <w:t xml:space="preserve">von </w:t>
      </w:r>
      <w:r w:rsidR="00F10683" w:rsidRPr="00EF47D7">
        <w:t xml:space="preserve">13 % </w:t>
      </w:r>
      <w:r w:rsidRPr="00EF47D7">
        <w:t>unterliegt</w:t>
      </w:r>
      <w:r w:rsidR="00F10683" w:rsidRPr="00CF2386">
        <w:t xml:space="preserve"> </w:t>
      </w:r>
      <w:r w:rsidR="00375167" w:rsidRPr="00CF2386">
        <w:t>[</w:t>
      </w:r>
      <w:hyperlink r:id="rId15" w:history="1">
        <w:r w:rsidR="00375167" w:rsidRPr="00CF2386">
          <w:rPr>
            <w:rStyle w:val="Hyperlink"/>
            <w:bCs/>
          </w:rPr>
          <w:t>Formular E 109b</w:t>
        </w:r>
      </w:hyperlink>
      <w:r w:rsidR="00375167" w:rsidRPr="00CF2386">
        <w:t>].</w:t>
      </w:r>
    </w:p>
    <w:p w14:paraId="11C337B7" w14:textId="6255A2AC" w:rsidR="00DF1B13" w:rsidRPr="00EA359E" w:rsidRDefault="00DF1B13" w:rsidP="00E25976">
      <w:pPr>
        <w:pStyle w:val="Listenabsatz"/>
        <w:spacing w:line="276" w:lineRule="auto"/>
        <w:ind w:left="567" w:right="141"/>
        <w:jc w:val="both"/>
        <w:rPr>
          <w:rFonts w:cs="Arial"/>
          <w:bCs/>
        </w:rPr>
      </w:pPr>
      <w:r w:rsidRPr="00CF2386">
        <w:rPr>
          <w:rFonts w:cs="Arial"/>
          <w:bCs/>
        </w:rPr>
        <w:t xml:space="preserve">Bei vorsätzlicher Nichterfüllung </w:t>
      </w:r>
      <w:r w:rsidR="00EF47D7">
        <w:rPr>
          <w:rFonts w:cs="Arial"/>
          <w:bCs/>
        </w:rPr>
        <w:t xml:space="preserve">der Meldung </w:t>
      </w:r>
      <w:r w:rsidRPr="00CF2386">
        <w:rPr>
          <w:rFonts w:cs="Arial"/>
          <w:bCs/>
        </w:rPr>
        <w:t>droht eine Geldstrafe von bis zu 10</w:t>
      </w:r>
      <w:r w:rsidR="00A64FE6" w:rsidRPr="00CF2386">
        <w:rPr>
          <w:rFonts w:cs="Arial"/>
          <w:bCs/>
        </w:rPr>
        <w:t xml:space="preserve"> </w:t>
      </w:r>
      <w:r w:rsidRPr="00CF2386">
        <w:rPr>
          <w:rFonts w:cs="Arial"/>
          <w:bCs/>
        </w:rPr>
        <w:t>% des zu meldenden Betrags, maximal € 20.000.</w:t>
      </w:r>
    </w:p>
    <w:p w14:paraId="093D1005" w14:textId="63F890A6" w:rsidR="00DF1B13" w:rsidRPr="004D2CA0" w:rsidRDefault="00DF1B13" w:rsidP="00EE68A7">
      <w:pPr>
        <w:spacing w:line="276" w:lineRule="auto"/>
        <w:ind w:left="284" w:right="141"/>
        <w:jc w:val="both"/>
        <w:rPr>
          <w:rFonts w:cs="Arial"/>
          <w:b/>
          <w:bCs/>
          <w:u w:val="single"/>
        </w:rPr>
      </w:pPr>
      <w:r w:rsidRPr="004D2CA0">
        <w:rPr>
          <w:rFonts w:cs="Arial"/>
          <w:b/>
          <w:bCs/>
          <w:u w:val="single"/>
        </w:rPr>
        <w:lastRenderedPageBreak/>
        <w:t>Meldungen für den Sonderausgabenabzug von Spenden</w:t>
      </w:r>
      <w:r w:rsidR="00483FA5" w:rsidRPr="004D2CA0">
        <w:rPr>
          <w:rFonts w:cs="Arial"/>
          <w:b/>
          <w:bCs/>
          <w:u w:val="single"/>
        </w:rPr>
        <w:t xml:space="preserve"> des Jahres 202</w:t>
      </w:r>
      <w:r w:rsidR="007C2818" w:rsidRPr="004D2CA0">
        <w:rPr>
          <w:rFonts w:cs="Arial"/>
          <w:b/>
          <w:bCs/>
          <w:u w:val="single"/>
        </w:rPr>
        <w:t>5</w:t>
      </w:r>
    </w:p>
    <w:p w14:paraId="2DA2452A" w14:textId="25BC5019" w:rsidR="00EE68A7" w:rsidRDefault="00DF1B13" w:rsidP="00EE68A7">
      <w:pPr>
        <w:spacing w:line="276" w:lineRule="auto"/>
        <w:ind w:left="284" w:right="141"/>
        <w:jc w:val="both"/>
        <w:rPr>
          <w:rFonts w:cs="Arial"/>
          <w:bCs/>
        </w:rPr>
      </w:pPr>
      <w:r w:rsidRPr="007C2818">
        <w:rPr>
          <w:rFonts w:cs="Arial"/>
          <w:bCs/>
        </w:rPr>
        <w:t>Um die automatische Erfassung von Spenden als Sonderausgabe in der Steuererklärung bzw</w:t>
      </w:r>
      <w:r w:rsidR="00440DFE" w:rsidRPr="007C2818">
        <w:rPr>
          <w:rFonts w:cs="Arial"/>
          <w:bCs/>
        </w:rPr>
        <w:t>.</w:t>
      </w:r>
      <w:r w:rsidRPr="007C2818">
        <w:rPr>
          <w:rFonts w:cs="Arial"/>
          <w:bCs/>
        </w:rPr>
        <w:t xml:space="preserve"> Arbeitnehmerveranlagung zu erlangen, sind </w:t>
      </w:r>
      <w:r w:rsidRPr="007C2818">
        <w:rPr>
          <w:rFonts w:cs="Arial"/>
          <w:b/>
          <w:bCs/>
        </w:rPr>
        <w:t>bis zum 2</w:t>
      </w:r>
      <w:r w:rsidR="00592640" w:rsidRPr="007C2818">
        <w:rPr>
          <w:rFonts w:cs="Arial"/>
          <w:b/>
          <w:bCs/>
        </w:rPr>
        <w:t>8</w:t>
      </w:r>
      <w:r w:rsidRPr="007C2818">
        <w:rPr>
          <w:rFonts w:cs="Arial"/>
          <w:b/>
          <w:bCs/>
        </w:rPr>
        <w:t>.2.202</w:t>
      </w:r>
      <w:r w:rsidR="007C2818">
        <w:rPr>
          <w:rFonts w:cs="Arial"/>
          <w:b/>
          <w:bCs/>
        </w:rPr>
        <w:t>6</w:t>
      </w:r>
      <w:r w:rsidRPr="007C2818">
        <w:rPr>
          <w:rFonts w:cs="Arial"/>
          <w:bCs/>
        </w:rPr>
        <w:t xml:space="preserve"> Zahlungen des Jahr</w:t>
      </w:r>
      <w:r w:rsidR="00450090" w:rsidRPr="007C2818">
        <w:rPr>
          <w:rFonts w:cs="Arial"/>
          <w:bCs/>
        </w:rPr>
        <w:t>e</w:t>
      </w:r>
      <w:r w:rsidRPr="007C2818">
        <w:rPr>
          <w:rFonts w:cs="Arial"/>
          <w:bCs/>
        </w:rPr>
        <w:t>s 202</w:t>
      </w:r>
      <w:r w:rsidR="007C2818">
        <w:rPr>
          <w:rFonts w:cs="Arial"/>
          <w:bCs/>
        </w:rPr>
        <w:t>5</w:t>
      </w:r>
      <w:r w:rsidRPr="007C2818">
        <w:rPr>
          <w:rFonts w:cs="Arial"/>
          <w:bCs/>
        </w:rPr>
        <w:t xml:space="preserve"> durch die Empfängerorganisation an das Finanzamt zu melden. Dies betrifft nur </w:t>
      </w:r>
      <w:r w:rsidRPr="007C2818">
        <w:rPr>
          <w:rFonts w:cs="Arial"/>
          <w:b/>
          <w:bCs/>
        </w:rPr>
        <w:t>Organisationen</w:t>
      </w:r>
      <w:r w:rsidRPr="007C2818">
        <w:rPr>
          <w:rFonts w:cs="Arial"/>
          <w:bCs/>
        </w:rPr>
        <w:t xml:space="preserve"> mit fester örtlicher Einrichtung im </w:t>
      </w:r>
      <w:r w:rsidRPr="007C2818">
        <w:rPr>
          <w:rFonts w:cs="Arial"/>
          <w:b/>
          <w:bCs/>
        </w:rPr>
        <w:t>Inland</w:t>
      </w:r>
      <w:r w:rsidRPr="007C2818">
        <w:rPr>
          <w:rFonts w:cs="Arial"/>
          <w:bCs/>
        </w:rPr>
        <w:t>. Voraussetzung ist, dass Spender ihre Identifikationsdaten (</w:t>
      </w:r>
      <w:r w:rsidRPr="007C2818">
        <w:rPr>
          <w:rFonts w:cs="Arial"/>
          <w:b/>
        </w:rPr>
        <w:t xml:space="preserve">Vorname und Zuname </w:t>
      </w:r>
      <w:r w:rsidR="00CA42C4" w:rsidRPr="007C2818">
        <w:rPr>
          <w:rFonts w:cs="Arial"/>
          <w:b/>
        </w:rPr>
        <w:t xml:space="preserve">laut </w:t>
      </w:r>
      <w:r w:rsidRPr="007C2818">
        <w:rPr>
          <w:rFonts w:cs="Arial"/>
          <w:b/>
        </w:rPr>
        <w:t>Meldezettel und Geburtsdatum</w:t>
      </w:r>
      <w:r w:rsidRPr="007C2818">
        <w:rPr>
          <w:rFonts w:cs="Arial"/>
          <w:bCs/>
        </w:rPr>
        <w:t>) bei der Einzahlung bekannt geben. Damit stimmen sie grundsätzlich der Datenübermittlung zu.</w:t>
      </w:r>
      <w:r w:rsidR="00CA42C4" w:rsidRPr="007C2818">
        <w:rPr>
          <w:rFonts w:cs="Arial"/>
          <w:bCs/>
          <w:color w:val="C00000"/>
        </w:rPr>
        <w:t xml:space="preserve"> </w:t>
      </w:r>
      <w:r w:rsidRPr="007C2818">
        <w:rPr>
          <w:rFonts w:cs="Arial"/>
          <w:bCs/>
        </w:rPr>
        <w:t>Anonyme Spenden bleiben unberücksichtigt</w:t>
      </w:r>
      <w:r w:rsidR="00440DFE" w:rsidRPr="007C2818">
        <w:rPr>
          <w:rFonts w:cs="Arial"/>
          <w:bCs/>
        </w:rPr>
        <w:t>.</w:t>
      </w:r>
    </w:p>
    <w:p w14:paraId="069C4D90" w14:textId="3A906700" w:rsidR="00DF1B13" w:rsidRPr="007C2818" w:rsidRDefault="00DF1B13" w:rsidP="00EE68A7">
      <w:pPr>
        <w:spacing w:line="276" w:lineRule="auto"/>
        <w:ind w:left="284" w:right="141"/>
        <w:jc w:val="both"/>
        <w:rPr>
          <w:rFonts w:cs="Arial"/>
          <w:bCs/>
        </w:rPr>
      </w:pPr>
      <w:r w:rsidRPr="007C2818">
        <w:rPr>
          <w:rFonts w:cs="Arial"/>
          <w:bCs/>
        </w:rPr>
        <w:t xml:space="preserve">Abzugsfähig sind nur Spenden an </w:t>
      </w:r>
      <w:r w:rsidR="00F10683" w:rsidRPr="007C2818">
        <w:rPr>
          <w:rFonts w:cs="Arial"/>
          <w:bCs/>
        </w:rPr>
        <w:t>gemeinnützige bzw. mildtätige Vereinigungen, die in der Liste der spendenbegünstigten Empfänger</w:t>
      </w:r>
      <w:r w:rsidR="007C2818">
        <w:rPr>
          <w:rFonts w:cs="Arial"/>
          <w:bCs/>
        </w:rPr>
        <w:t xml:space="preserve"> auf der Homepage des BMF</w:t>
      </w:r>
      <w:r w:rsidR="00F10683" w:rsidRPr="007C2818">
        <w:rPr>
          <w:rFonts w:cs="Arial"/>
          <w:bCs/>
        </w:rPr>
        <w:t xml:space="preserve"> angeführt sind</w:t>
      </w:r>
      <w:r w:rsidR="007C2818" w:rsidRPr="00C91672">
        <w:t xml:space="preserve"> </w:t>
      </w:r>
      <w:hyperlink r:id="rId16" w:history="1">
        <w:r w:rsidR="007C2818" w:rsidRPr="00C91672">
          <w:rPr>
            <w:rStyle w:val="Hyperlink"/>
            <w:bCs/>
          </w:rPr>
          <w:t>https://service.bmf.gv.at/service/allg/spenden/_start.asp</w:t>
        </w:r>
      </w:hyperlink>
      <w:r w:rsidR="00F10683" w:rsidRPr="007C2818">
        <w:rPr>
          <w:rFonts w:cs="Arial"/>
          <w:bCs/>
        </w:rPr>
        <w:t xml:space="preserve">) oder an </w:t>
      </w:r>
      <w:r w:rsidR="007C2818">
        <w:rPr>
          <w:rFonts w:cs="Arial"/>
          <w:bCs/>
        </w:rPr>
        <w:t>i</w:t>
      </w:r>
      <w:r w:rsidRPr="007C2818">
        <w:rPr>
          <w:rFonts w:cs="Arial"/>
          <w:bCs/>
        </w:rPr>
        <w:t>m Gesetz angeführte Einrich</w:t>
      </w:r>
      <w:r w:rsidR="00101E8A">
        <w:rPr>
          <w:rFonts w:cs="Arial"/>
          <w:bCs/>
        </w:rPr>
        <w:t>t</w:t>
      </w:r>
      <w:r w:rsidRPr="007C2818">
        <w:rPr>
          <w:rFonts w:cs="Arial"/>
          <w:bCs/>
        </w:rPr>
        <w:t>ungen (Museen, freiwillige Feuerwehr</w:t>
      </w:r>
      <w:r w:rsidR="00F61AE3" w:rsidRPr="007C2818">
        <w:rPr>
          <w:rFonts w:cs="Arial"/>
          <w:bCs/>
        </w:rPr>
        <w:t>,</w:t>
      </w:r>
      <w:r w:rsidRPr="007C2818">
        <w:rPr>
          <w:rFonts w:cs="Arial"/>
          <w:bCs/>
        </w:rPr>
        <w:t xml:space="preserve"> </w:t>
      </w:r>
      <w:r w:rsidR="00CA42C4" w:rsidRPr="007C2818">
        <w:rPr>
          <w:rFonts w:cs="Arial"/>
        </w:rPr>
        <w:t xml:space="preserve">u. </w:t>
      </w:r>
      <w:r w:rsidR="00A64FE6" w:rsidRPr="007C2818">
        <w:rPr>
          <w:rFonts w:cs="Arial"/>
        </w:rPr>
        <w:t>ä.</w:t>
      </w:r>
      <w:r w:rsidR="00CA42C4" w:rsidRPr="007C2818">
        <w:rPr>
          <w:rFonts w:cs="Arial"/>
          <w:bCs/>
        </w:rPr>
        <w:t>)</w:t>
      </w:r>
      <w:r w:rsidRPr="007C2818">
        <w:rPr>
          <w:rFonts w:cs="Arial"/>
          <w:bCs/>
        </w:rPr>
        <w:t xml:space="preserve"> </w:t>
      </w:r>
      <w:r w:rsidR="000E525F" w:rsidRPr="007C2818">
        <w:rPr>
          <w:rFonts w:cs="Arial"/>
          <w:bCs/>
        </w:rPr>
        <w:t>von</w:t>
      </w:r>
      <w:r w:rsidR="00483FA5" w:rsidRPr="007C2818">
        <w:rPr>
          <w:rFonts w:cs="Arial"/>
          <w:bCs/>
        </w:rPr>
        <w:t xml:space="preserve"> bis zu</w:t>
      </w:r>
      <w:r w:rsidRPr="007C2818">
        <w:rPr>
          <w:rFonts w:cs="Arial"/>
          <w:bCs/>
        </w:rPr>
        <w:t xml:space="preserve"> 10</w:t>
      </w:r>
      <w:r w:rsidR="00F10683" w:rsidRPr="007C2818">
        <w:rPr>
          <w:rFonts w:cs="Arial"/>
          <w:bCs/>
        </w:rPr>
        <w:t> </w:t>
      </w:r>
      <w:r w:rsidRPr="007C2818">
        <w:rPr>
          <w:rFonts w:cs="Arial"/>
          <w:bCs/>
        </w:rPr>
        <w:t>% der Einkünfte (Privatperson) bzw</w:t>
      </w:r>
      <w:r w:rsidR="000E525F" w:rsidRPr="007C2818">
        <w:rPr>
          <w:rFonts w:cs="Arial"/>
          <w:bCs/>
        </w:rPr>
        <w:t>.</w:t>
      </w:r>
      <w:r w:rsidRPr="007C2818">
        <w:rPr>
          <w:rFonts w:cs="Arial"/>
          <w:bCs/>
        </w:rPr>
        <w:t xml:space="preserve"> des Gewinns (Unternehmen) des laufenden Kalenderjahrs. </w:t>
      </w:r>
    </w:p>
    <w:p w14:paraId="35583434" w14:textId="77777777" w:rsidR="00DF1B13" w:rsidRPr="007C2818" w:rsidRDefault="00DF1B13" w:rsidP="00B71DD0">
      <w:pPr>
        <w:spacing w:line="276" w:lineRule="auto"/>
        <w:ind w:left="284" w:right="141"/>
        <w:jc w:val="both"/>
        <w:rPr>
          <w:rFonts w:cs="Arial"/>
          <w:bCs/>
        </w:rPr>
      </w:pPr>
    </w:p>
    <w:p w14:paraId="382F1CC8" w14:textId="675DBAF7" w:rsidR="001B4BF0" w:rsidRPr="007C2818" w:rsidRDefault="00D67AB8" w:rsidP="00B71DD0">
      <w:pPr>
        <w:spacing w:line="276" w:lineRule="auto"/>
        <w:ind w:left="284" w:right="141" w:hanging="284"/>
        <w:jc w:val="both"/>
        <w:rPr>
          <w:rFonts w:cs="Arial"/>
          <w:b/>
          <w:kern w:val="28"/>
        </w:rPr>
      </w:pPr>
      <w:r w:rsidRPr="007C2818">
        <w:rPr>
          <w:rFonts w:cs="Arial"/>
          <w:b/>
          <w:kern w:val="28"/>
        </w:rPr>
        <w:t>1</w:t>
      </w:r>
      <w:r w:rsidR="00101E8A">
        <w:rPr>
          <w:rFonts w:cs="Arial"/>
          <w:b/>
          <w:kern w:val="28"/>
        </w:rPr>
        <w:t>6</w:t>
      </w:r>
      <w:r w:rsidRPr="007C2818">
        <w:rPr>
          <w:rFonts w:cs="Arial"/>
          <w:b/>
          <w:kern w:val="28"/>
        </w:rPr>
        <w:t>.3.202</w:t>
      </w:r>
      <w:r w:rsidR="007C2818" w:rsidRPr="007C2818">
        <w:rPr>
          <w:rFonts w:cs="Arial"/>
          <w:b/>
          <w:kern w:val="28"/>
        </w:rPr>
        <w:t>6</w:t>
      </w:r>
      <w:r w:rsidRPr="007C2818">
        <w:rPr>
          <w:rFonts w:cs="Arial"/>
          <w:b/>
          <w:kern w:val="28"/>
        </w:rPr>
        <w:t xml:space="preserve">: </w:t>
      </w:r>
    </w:p>
    <w:p w14:paraId="2D76F495" w14:textId="4FA997BD" w:rsidR="00D67AB8" w:rsidRPr="007C2818" w:rsidRDefault="00D67AB8" w:rsidP="00B71DD0">
      <w:pPr>
        <w:spacing w:line="276" w:lineRule="auto"/>
        <w:ind w:left="568" w:right="141" w:hanging="284"/>
        <w:jc w:val="both"/>
        <w:rPr>
          <w:rFonts w:cs="Arial"/>
          <w:b/>
          <w:kern w:val="28"/>
          <w:u w:val="single"/>
        </w:rPr>
      </w:pPr>
      <w:r w:rsidRPr="007C2818">
        <w:rPr>
          <w:rFonts w:cs="Arial"/>
          <w:b/>
          <w:kern w:val="28"/>
          <w:u w:val="single"/>
        </w:rPr>
        <w:t>Entscheidung</w:t>
      </w:r>
      <w:r w:rsidR="002D5EB6" w:rsidRPr="007C2818">
        <w:rPr>
          <w:rFonts w:cs="Arial"/>
          <w:b/>
          <w:kern w:val="28"/>
          <w:u w:val="single"/>
        </w:rPr>
        <w:t>,</w:t>
      </w:r>
      <w:r w:rsidRPr="007C2818">
        <w:rPr>
          <w:rFonts w:cs="Arial"/>
          <w:b/>
          <w:kern w:val="28"/>
          <w:u w:val="single"/>
        </w:rPr>
        <w:t xml:space="preserve"> ob monatliche oder vierteljährliche UVA</w:t>
      </w:r>
    </w:p>
    <w:p w14:paraId="1C79AEFC" w14:textId="50CC3268" w:rsidR="00924518" w:rsidRPr="007C2818" w:rsidRDefault="00924518" w:rsidP="00924518">
      <w:pPr>
        <w:spacing w:line="276" w:lineRule="auto"/>
        <w:ind w:left="284" w:right="141"/>
        <w:jc w:val="both"/>
        <w:rPr>
          <w:rFonts w:cs="Arial"/>
          <w:bCs/>
        </w:rPr>
      </w:pPr>
      <w:r w:rsidRPr="007C2818">
        <w:rPr>
          <w:rFonts w:cs="Arial"/>
          <w:bCs/>
        </w:rPr>
        <w:t xml:space="preserve">Unternehmer, deren </w:t>
      </w:r>
      <w:r w:rsidR="007C2818">
        <w:rPr>
          <w:rFonts w:cs="Arial"/>
          <w:bCs/>
        </w:rPr>
        <w:t>Jahresu</w:t>
      </w:r>
      <w:r w:rsidRPr="007C2818">
        <w:rPr>
          <w:rFonts w:cs="Arial"/>
          <w:bCs/>
        </w:rPr>
        <w:t>msatz im vorangegangen</w:t>
      </w:r>
      <w:r w:rsidR="00440DFE" w:rsidRPr="007C2818">
        <w:rPr>
          <w:rFonts w:cs="Arial"/>
          <w:bCs/>
        </w:rPr>
        <w:t>en</w:t>
      </w:r>
      <w:r w:rsidRPr="007C2818">
        <w:rPr>
          <w:rFonts w:cs="Arial"/>
          <w:bCs/>
        </w:rPr>
        <w:t xml:space="preserve"> Kalenderjahr 202</w:t>
      </w:r>
      <w:r w:rsidR="007C2818">
        <w:rPr>
          <w:rFonts w:cs="Arial"/>
          <w:bCs/>
        </w:rPr>
        <w:t>5</w:t>
      </w:r>
      <w:r w:rsidRPr="007C2818">
        <w:rPr>
          <w:rFonts w:cs="Arial"/>
          <w:bCs/>
        </w:rPr>
        <w:t xml:space="preserve"> €</w:t>
      </w:r>
      <w:r w:rsidRPr="007C2818">
        <w:rPr>
          <w:rFonts w:cs="Arial"/>
        </w:rPr>
        <w:t> </w:t>
      </w:r>
      <w:r w:rsidRPr="007C2818">
        <w:rPr>
          <w:rFonts w:cs="Arial"/>
          <w:bCs/>
        </w:rPr>
        <w:t xml:space="preserve">100.000 überschritten hat, sind zur monatlichen Abgabe der Umsatzsteuervoranmeldung verpflichtet. Liegt der </w:t>
      </w:r>
      <w:r w:rsidRPr="00EE68A7">
        <w:rPr>
          <w:rFonts w:cs="Arial"/>
          <w:b/>
        </w:rPr>
        <w:t>Vorjahresumsatz unter € 100.000,</w:t>
      </w:r>
      <w:r w:rsidRPr="007C2818">
        <w:rPr>
          <w:rFonts w:cs="Arial"/>
          <w:bCs/>
        </w:rPr>
        <w:t xml:space="preserve"> sind die </w:t>
      </w:r>
      <w:r w:rsidRPr="007C2818">
        <w:rPr>
          <w:rFonts w:cs="Arial"/>
          <w:b/>
        </w:rPr>
        <w:t>UVA vierteljährlich</w:t>
      </w:r>
      <w:r w:rsidRPr="007C2818">
        <w:rPr>
          <w:rFonts w:cs="Arial"/>
          <w:bCs/>
        </w:rPr>
        <w:t xml:space="preserve"> einzureichen. Eine freiwillige monatliche UVA-Abgabe ist möglich. Das Wahlrecht wird ausgeübt, indem fristgerecht für den ersten Voranmeldungszeitraum (für den Monat Jänner 202</w:t>
      </w:r>
      <w:r w:rsidR="007C2818">
        <w:rPr>
          <w:rFonts w:cs="Arial"/>
          <w:bCs/>
        </w:rPr>
        <w:t>6</w:t>
      </w:r>
      <w:r w:rsidRPr="007C2818">
        <w:rPr>
          <w:rFonts w:cs="Arial"/>
          <w:bCs/>
        </w:rPr>
        <w:t>) die UVA bis zum 1</w:t>
      </w:r>
      <w:r w:rsidR="00101E8A">
        <w:rPr>
          <w:rFonts w:cs="Arial"/>
          <w:bCs/>
        </w:rPr>
        <w:t>6</w:t>
      </w:r>
      <w:r w:rsidRPr="007C2818">
        <w:rPr>
          <w:rFonts w:cs="Arial"/>
          <w:bCs/>
        </w:rPr>
        <w:t>.3.202</w:t>
      </w:r>
      <w:r w:rsidR="007C2818">
        <w:rPr>
          <w:rFonts w:cs="Arial"/>
          <w:bCs/>
        </w:rPr>
        <w:t>6</w:t>
      </w:r>
      <w:r w:rsidRPr="007C2818">
        <w:rPr>
          <w:rFonts w:cs="Arial"/>
          <w:bCs/>
        </w:rPr>
        <w:t xml:space="preserve"> dem Finanzamt übermittelt wird. Andernfalls ist für den Voranmeldungszeitraum 1.</w:t>
      </w:r>
      <w:r w:rsidR="00EF661E">
        <w:rPr>
          <w:rFonts w:cs="Arial"/>
          <w:bCs/>
        </w:rPr>
        <w:t> </w:t>
      </w:r>
      <w:r w:rsidRPr="007C2818">
        <w:rPr>
          <w:rFonts w:cs="Arial"/>
          <w:bCs/>
        </w:rPr>
        <w:t>Quartal</w:t>
      </w:r>
      <w:r w:rsidR="00EF661E">
        <w:rPr>
          <w:rFonts w:cs="Arial"/>
          <w:bCs/>
        </w:rPr>
        <w:t> </w:t>
      </w:r>
      <w:r w:rsidRPr="007C2818">
        <w:rPr>
          <w:rFonts w:cs="Arial"/>
          <w:bCs/>
        </w:rPr>
        <w:t>202</w:t>
      </w:r>
      <w:r w:rsidR="007C2818">
        <w:rPr>
          <w:rFonts w:cs="Arial"/>
          <w:bCs/>
        </w:rPr>
        <w:t>6</w:t>
      </w:r>
      <w:r w:rsidRPr="007C2818">
        <w:rPr>
          <w:rFonts w:cs="Arial"/>
          <w:bCs/>
        </w:rPr>
        <w:t xml:space="preserve"> die UVA bis zum 15.5.202</w:t>
      </w:r>
      <w:r w:rsidR="007C2818">
        <w:rPr>
          <w:rFonts w:cs="Arial"/>
          <w:bCs/>
        </w:rPr>
        <w:t>6</w:t>
      </w:r>
      <w:r w:rsidRPr="007C2818">
        <w:rPr>
          <w:rFonts w:cs="Arial"/>
          <w:bCs/>
        </w:rPr>
        <w:t xml:space="preserve"> einzureichen.</w:t>
      </w:r>
    </w:p>
    <w:p w14:paraId="26378BA5" w14:textId="44B69D97" w:rsidR="00196D2E" w:rsidRPr="007C2818" w:rsidRDefault="00924518" w:rsidP="00B71DD0">
      <w:pPr>
        <w:spacing w:line="276" w:lineRule="auto"/>
        <w:ind w:left="284" w:right="141"/>
        <w:jc w:val="both"/>
        <w:rPr>
          <w:rFonts w:cs="Arial"/>
          <w:bCs/>
        </w:rPr>
      </w:pPr>
      <w:r w:rsidRPr="007C2818">
        <w:rPr>
          <w:rFonts w:cs="Arial"/>
        </w:rPr>
        <w:t>Haben die Umsätze des Unternehmers im vorangegangenen Jahr (202</w:t>
      </w:r>
      <w:r w:rsidR="007C2818">
        <w:rPr>
          <w:rFonts w:cs="Arial"/>
        </w:rPr>
        <w:t>5</w:t>
      </w:r>
      <w:r w:rsidRPr="007C2818">
        <w:rPr>
          <w:rFonts w:cs="Arial"/>
        </w:rPr>
        <w:t xml:space="preserve">) den Betrag von € 55.000 nicht überschritten </w:t>
      </w:r>
      <w:r w:rsidRPr="007C2818">
        <w:rPr>
          <w:rFonts w:cs="Arial"/>
          <w:b/>
          <w:bCs/>
        </w:rPr>
        <w:t>und</w:t>
      </w:r>
      <w:r w:rsidRPr="007C2818">
        <w:rPr>
          <w:rFonts w:cs="Arial"/>
        </w:rPr>
        <w:t xml:space="preserve"> ergibt sich für einen Voranmeldungszeitraum keine Vorauszahlung (oder wird eine allfällige Vorauszahlung rechtzeitig gezahlt), so besteht für den Unternehmer keine Verpflichtung zur Einreichung </w:t>
      </w:r>
      <w:r w:rsidR="007C2818">
        <w:rPr>
          <w:rFonts w:cs="Arial"/>
        </w:rPr>
        <w:t xml:space="preserve">einer </w:t>
      </w:r>
      <w:r w:rsidRPr="007C2818">
        <w:rPr>
          <w:rFonts w:cs="Arial"/>
        </w:rPr>
        <w:t xml:space="preserve">Umsatzsteuervoranmeldung. </w:t>
      </w:r>
    </w:p>
    <w:sectPr w:rsidR="00196D2E" w:rsidRPr="007C2818" w:rsidSect="004419A0">
      <w:headerReference w:type="default" r:id="rId17"/>
      <w:footerReference w:type="default" r:id="rId18"/>
      <w:headerReference w:type="first" r:id="rId19"/>
      <w:footerReference w:type="first" r:id="rId20"/>
      <w:pgSz w:w="11907" w:h="16840" w:code="9"/>
      <w:pgMar w:top="1418" w:right="992" w:bottom="1134" w:left="1418" w:header="720" w:footer="720"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E2EC" w14:textId="77777777" w:rsidR="0060082A" w:rsidRDefault="0060082A">
      <w:r>
        <w:separator/>
      </w:r>
    </w:p>
  </w:endnote>
  <w:endnote w:type="continuationSeparator" w:id="0">
    <w:p w14:paraId="7FF8C5C2" w14:textId="77777777" w:rsidR="0060082A" w:rsidRDefault="0060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PCL6)">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Bskvll B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C454" w14:textId="77777777" w:rsidR="00A26D62" w:rsidRDefault="00A26D62">
    <w:pPr>
      <w:pStyle w:val="Fuzeile"/>
      <w:rPr>
        <w:sz w:val="16"/>
      </w:rPr>
    </w:pPr>
  </w:p>
  <w:p w14:paraId="3611DF38" w14:textId="5696567E" w:rsidR="00A26D62" w:rsidRPr="000B2C0F" w:rsidRDefault="00A26D62">
    <w:pPr>
      <w:pStyle w:val="Fuzeile"/>
      <w:rPr>
        <w:sz w:val="16"/>
      </w:rPr>
    </w:pPr>
    <w:r>
      <w:rPr>
        <w:sz w:val="16"/>
      </w:rPr>
      <w:sym w:font="Symbol" w:char="00E3"/>
    </w:r>
    <w:r>
      <w:rPr>
        <w:sz w:val="16"/>
      </w:rPr>
      <w:t xml:space="preserve"> </w:t>
    </w:r>
    <w:proofErr w:type="spellStart"/>
    <w:r>
      <w:rPr>
        <w:sz w:val="16"/>
      </w:rPr>
      <w:t>by</w:t>
    </w:r>
    <w:proofErr w:type="spellEnd"/>
    <w:r>
      <w:rPr>
        <w:sz w:val="16"/>
      </w:rPr>
      <w:t xml:space="preserve"> Klienten- und </w:t>
    </w:r>
    <w:proofErr w:type="spellStart"/>
    <w:r>
      <w:rPr>
        <w:sz w:val="16"/>
      </w:rPr>
      <w:t>KollegenInfo</w:t>
    </w:r>
    <w:proofErr w:type="spellEnd"/>
    <w:r>
      <w:rPr>
        <w:sz w:val="16"/>
      </w:rPr>
      <w:t xml:space="preserve">, Stand </w:t>
    </w:r>
    <w:r w:rsidR="00392C72">
      <w:rPr>
        <w:sz w:val="16"/>
      </w:rPr>
      <w:t>31.1.202</w:t>
    </w:r>
    <w:r w:rsidR="00AD050A">
      <w:rPr>
        <w:sz w:val="16"/>
      </w:rPr>
      <w:t>6</w:t>
    </w:r>
    <w:r>
      <w:rPr>
        <w:rStyle w:val="Seitenzahl"/>
      </w:rPr>
      <w:tab/>
    </w:r>
    <w:r>
      <w:rPr>
        <w:rStyle w:val="Seitenzahl"/>
      </w:rPr>
      <w:tab/>
    </w:r>
    <w:r>
      <w:rPr>
        <w:rStyle w:val="Seitenzahl"/>
      </w:rPr>
      <w:fldChar w:fldCharType="begin"/>
    </w:r>
    <w:r>
      <w:rPr>
        <w:rStyle w:val="Seitenzahl"/>
      </w:rPr>
      <w:instrText xml:space="preserve"> PAGE </w:instrText>
    </w:r>
    <w:r>
      <w:rPr>
        <w:rStyle w:val="Seitenzahl"/>
      </w:rPr>
      <w:fldChar w:fldCharType="separate"/>
    </w:r>
    <w:r>
      <w:rPr>
        <w:rStyle w:val="Seitenzahl"/>
        <w:noProof/>
      </w:rPr>
      <w:t>9</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9</w:t>
    </w:r>
    <w:r>
      <w:rPr>
        <w:rStyle w:val="Seitenzahl"/>
      </w:rPr>
      <w:fldChar w:fldCharType="end"/>
    </w:r>
    <w:r>
      <w:t xml:space="preserve"> </w:t>
    </w:r>
  </w:p>
  <w:p w14:paraId="66AD3411" w14:textId="77777777" w:rsidR="00A26D62" w:rsidRDefault="00A26D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D5F6" w14:textId="691CC9F6" w:rsidR="00A26D62" w:rsidRDefault="00A26D62" w:rsidP="006861EE">
    <w:pPr>
      <w:pStyle w:val="Fuzeile"/>
      <w:rPr>
        <w:sz w:val="14"/>
        <w:szCs w:val="14"/>
      </w:rPr>
    </w:pPr>
    <w:r>
      <w:rPr>
        <w:sz w:val="14"/>
        <w:szCs w:val="14"/>
      </w:rPr>
      <w:t>Hinweis: Um die Lesbarkeit der durchaus komplexen Inhalte zu erhöhen, haben wir bewusst von einer genderkonformen Schreibweise Abstand genommen. Die gewählten Begriffe gelten für alle Geschlechter.</w:t>
    </w:r>
  </w:p>
  <w:p w14:paraId="1CAC2DA3" w14:textId="05C92CAF" w:rsidR="00A26D62" w:rsidRDefault="00A26D62" w:rsidP="006861EE">
    <w:pPr>
      <w:pStyle w:val="Fuzeile"/>
      <w:rPr>
        <w:sz w:val="14"/>
        <w:szCs w:val="14"/>
      </w:rPr>
    </w:pPr>
    <w:r>
      <w:rPr>
        <w:sz w:val="14"/>
        <w:szCs w:val="14"/>
      </w:rPr>
      <w:t xml:space="preserve">Haftungsausschluss: Wir haben die vorliegende </w:t>
    </w:r>
    <w:proofErr w:type="spellStart"/>
    <w:r>
      <w:rPr>
        <w:sz w:val="14"/>
        <w:szCs w:val="14"/>
      </w:rPr>
      <w:t>Klienten</w:t>
    </w:r>
    <w:r w:rsidR="0020557A">
      <w:rPr>
        <w:sz w:val="14"/>
        <w:szCs w:val="14"/>
      </w:rPr>
      <w:t>INFO</w:t>
    </w:r>
    <w:proofErr w:type="spellEnd"/>
    <w:r>
      <w:rPr>
        <w:sz w:val="14"/>
        <w:szCs w:val="14"/>
      </w:rPr>
      <w:t xml:space="preserve"> mit größtmöglicher Sorgfalt erstellt, bitten aber um Verständnis dafür, dass sie weder eine persönliche Beratung ersetzen kann </w:t>
    </w:r>
    <w:proofErr w:type="gramStart"/>
    <w:r>
      <w:rPr>
        <w:sz w:val="14"/>
        <w:szCs w:val="14"/>
      </w:rPr>
      <w:t>noch</w:t>
    </w:r>
    <w:proofErr w:type="gramEnd"/>
    <w:r>
      <w:rPr>
        <w:sz w:val="14"/>
        <w:szCs w:val="14"/>
      </w:rPr>
      <w:t xml:space="preserve"> dass wir irgendeine Haftung für deren Inhalt übernehmen können. </w:t>
    </w:r>
  </w:p>
  <w:p w14:paraId="5F0E6608" w14:textId="77777777" w:rsidR="00A26D62" w:rsidRDefault="00A26D62" w:rsidP="008C48E3">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 </w:t>
    </w:r>
    <w:r>
      <w:rPr>
        <w:rStyle w:val="Seitenzahl"/>
      </w:rPr>
      <w:fldChar w:fldCharType="begin"/>
    </w:r>
    <w:r>
      <w:rPr>
        <w:rStyle w:val="Seitenzahl"/>
      </w:rPr>
      <w:instrText xml:space="preserve"> NUMPAGES </w:instrText>
    </w:r>
    <w:r>
      <w:rPr>
        <w:rStyle w:val="Seitenzahl"/>
      </w:rPr>
      <w:fldChar w:fldCharType="separate"/>
    </w:r>
    <w:r>
      <w:rPr>
        <w:rStyle w:val="Seitenzahl"/>
        <w:noProof/>
      </w:rPr>
      <w:t>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1A2A" w14:textId="77777777" w:rsidR="0060082A" w:rsidRDefault="0060082A">
      <w:r>
        <w:separator/>
      </w:r>
    </w:p>
  </w:footnote>
  <w:footnote w:type="continuationSeparator" w:id="0">
    <w:p w14:paraId="6F132440" w14:textId="77777777" w:rsidR="0060082A" w:rsidRDefault="0060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9294" w14:textId="1F14925B" w:rsidR="004419A0" w:rsidRDefault="004419A0">
    <w:pPr>
      <w:pStyle w:val="Kopfzeile"/>
    </w:pPr>
    <w:r>
      <w:rPr>
        <w:noProof/>
      </w:rPr>
      <w:drawing>
        <wp:anchor distT="0" distB="0" distL="114300" distR="114300" simplePos="0" relativeHeight="251660288" behindDoc="0" locked="0" layoutInCell="1" allowOverlap="1" wp14:anchorId="733F7E81" wp14:editId="18B9EF47">
          <wp:simplePos x="0" y="0"/>
          <wp:positionH relativeFrom="column">
            <wp:posOffset>4810125</wp:posOffset>
          </wp:positionH>
          <wp:positionV relativeFrom="paragraph">
            <wp:posOffset>-209550</wp:posOffset>
          </wp:positionV>
          <wp:extent cx="1301014" cy="63690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01014" cy="6369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0FBB" w14:textId="0A4AF7C5" w:rsidR="004419A0" w:rsidRDefault="004419A0">
    <w:pPr>
      <w:pStyle w:val="Kopfzeile"/>
    </w:pPr>
    <w:r>
      <w:rPr>
        <w:noProof/>
      </w:rPr>
      <w:drawing>
        <wp:anchor distT="0" distB="0" distL="114300" distR="114300" simplePos="0" relativeHeight="251658240" behindDoc="0" locked="0" layoutInCell="1" allowOverlap="1" wp14:anchorId="79100413" wp14:editId="7FC10DC3">
          <wp:simplePos x="0" y="0"/>
          <wp:positionH relativeFrom="column">
            <wp:posOffset>4871720</wp:posOffset>
          </wp:positionH>
          <wp:positionV relativeFrom="paragraph">
            <wp:posOffset>-200025</wp:posOffset>
          </wp:positionV>
          <wp:extent cx="1301014" cy="6369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301014" cy="636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2F7"/>
    <w:multiLevelType w:val="hybridMultilevel"/>
    <w:tmpl w:val="301AD3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346B9A"/>
    <w:multiLevelType w:val="multilevel"/>
    <w:tmpl w:val="6AE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24BF4"/>
    <w:multiLevelType w:val="hybridMultilevel"/>
    <w:tmpl w:val="D620485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A75F83"/>
    <w:multiLevelType w:val="hybridMultilevel"/>
    <w:tmpl w:val="F45E52D0"/>
    <w:lvl w:ilvl="0" w:tplc="0C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E30EB8"/>
    <w:multiLevelType w:val="hybridMultilevel"/>
    <w:tmpl w:val="A87AF6FA"/>
    <w:lvl w:ilvl="0" w:tplc="E160B2CC">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E35A96"/>
    <w:multiLevelType w:val="hybridMultilevel"/>
    <w:tmpl w:val="03DC51D4"/>
    <w:lvl w:ilvl="0" w:tplc="89865BE0">
      <w:start w:val="1"/>
      <w:numFmt w:val="bullet"/>
      <w:pStyle w:val="Aufzhlung1"/>
      <w:lvlText w:val=""/>
      <w:lvlJc w:val="left"/>
      <w:pPr>
        <w:tabs>
          <w:tab w:val="num" w:pos="360"/>
        </w:tabs>
        <w:ind w:left="360" w:hanging="360"/>
      </w:pPr>
      <w:rPr>
        <w:rFonts w:ascii="Wingdings" w:hAnsi="Wingdings" w:hint="default"/>
        <w:color w:val="auto"/>
      </w:rPr>
    </w:lvl>
    <w:lvl w:ilvl="1" w:tplc="1106776A" w:tentative="1">
      <w:start w:val="1"/>
      <w:numFmt w:val="bullet"/>
      <w:lvlText w:val="o"/>
      <w:lvlJc w:val="left"/>
      <w:pPr>
        <w:tabs>
          <w:tab w:val="num" w:pos="1440"/>
        </w:tabs>
        <w:ind w:left="1440" w:hanging="360"/>
      </w:pPr>
      <w:rPr>
        <w:rFonts w:ascii="Courier New" w:hAnsi="Courier New" w:hint="default"/>
      </w:rPr>
    </w:lvl>
    <w:lvl w:ilvl="2" w:tplc="A7502928" w:tentative="1">
      <w:start w:val="1"/>
      <w:numFmt w:val="bullet"/>
      <w:lvlText w:val=""/>
      <w:lvlJc w:val="left"/>
      <w:pPr>
        <w:tabs>
          <w:tab w:val="num" w:pos="2160"/>
        </w:tabs>
        <w:ind w:left="2160" w:hanging="360"/>
      </w:pPr>
      <w:rPr>
        <w:rFonts w:ascii="Wingdings" w:hAnsi="Wingdings" w:hint="default"/>
      </w:rPr>
    </w:lvl>
    <w:lvl w:ilvl="3" w:tplc="3EFE14BE" w:tentative="1">
      <w:start w:val="1"/>
      <w:numFmt w:val="bullet"/>
      <w:lvlText w:val=""/>
      <w:lvlJc w:val="left"/>
      <w:pPr>
        <w:tabs>
          <w:tab w:val="num" w:pos="2880"/>
        </w:tabs>
        <w:ind w:left="2880" w:hanging="360"/>
      </w:pPr>
      <w:rPr>
        <w:rFonts w:ascii="Symbol" w:hAnsi="Symbol" w:hint="default"/>
      </w:rPr>
    </w:lvl>
    <w:lvl w:ilvl="4" w:tplc="383005B4" w:tentative="1">
      <w:start w:val="1"/>
      <w:numFmt w:val="bullet"/>
      <w:lvlText w:val="o"/>
      <w:lvlJc w:val="left"/>
      <w:pPr>
        <w:tabs>
          <w:tab w:val="num" w:pos="3600"/>
        </w:tabs>
        <w:ind w:left="3600" w:hanging="360"/>
      </w:pPr>
      <w:rPr>
        <w:rFonts w:ascii="Courier New" w:hAnsi="Courier New" w:hint="default"/>
      </w:rPr>
    </w:lvl>
    <w:lvl w:ilvl="5" w:tplc="2F5A0A70" w:tentative="1">
      <w:start w:val="1"/>
      <w:numFmt w:val="bullet"/>
      <w:lvlText w:val=""/>
      <w:lvlJc w:val="left"/>
      <w:pPr>
        <w:tabs>
          <w:tab w:val="num" w:pos="4320"/>
        </w:tabs>
        <w:ind w:left="4320" w:hanging="360"/>
      </w:pPr>
      <w:rPr>
        <w:rFonts w:ascii="Wingdings" w:hAnsi="Wingdings" w:hint="default"/>
      </w:rPr>
    </w:lvl>
    <w:lvl w:ilvl="6" w:tplc="D47ADE18" w:tentative="1">
      <w:start w:val="1"/>
      <w:numFmt w:val="bullet"/>
      <w:lvlText w:val=""/>
      <w:lvlJc w:val="left"/>
      <w:pPr>
        <w:tabs>
          <w:tab w:val="num" w:pos="5040"/>
        </w:tabs>
        <w:ind w:left="5040" w:hanging="360"/>
      </w:pPr>
      <w:rPr>
        <w:rFonts w:ascii="Symbol" w:hAnsi="Symbol" w:hint="default"/>
      </w:rPr>
    </w:lvl>
    <w:lvl w:ilvl="7" w:tplc="03F0792A" w:tentative="1">
      <w:start w:val="1"/>
      <w:numFmt w:val="bullet"/>
      <w:lvlText w:val="o"/>
      <w:lvlJc w:val="left"/>
      <w:pPr>
        <w:tabs>
          <w:tab w:val="num" w:pos="5760"/>
        </w:tabs>
        <w:ind w:left="5760" w:hanging="360"/>
      </w:pPr>
      <w:rPr>
        <w:rFonts w:ascii="Courier New" w:hAnsi="Courier New" w:hint="default"/>
      </w:rPr>
    </w:lvl>
    <w:lvl w:ilvl="8" w:tplc="CFC406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4704A"/>
    <w:multiLevelType w:val="hybridMultilevel"/>
    <w:tmpl w:val="DFD8061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D4176C"/>
    <w:multiLevelType w:val="hybridMultilevel"/>
    <w:tmpl w:val="8A848902"/>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8" w15:restartNumberingAfterBreak="0">
    <w:nsid w:val="2FE17504"/>
    <w:multiLevelType w:val="multilevel"/>
    <w:tmpl w:val="CB760E7A"/>
    <w:lvl w:ilvl="0">
      <w:start w:val="1"/>
      <w:numFmt w:val="decimal"/>
      <w:lvlText w:val="%1."/>
      <w:lvlJc w:val="left"/>
      <w:pPr>
        <w:tabs>
          <w:tab w:val="num" w:pos="9505"/>
        </w:tabs>
        <w:ind w:left="9505" w:hanging="432"/>
      </w:pPr>
      <w:rPr>
        <w:rFonts w:hint="default"/>
      </w:rPr>
    </w:lvl>
    <w:lvl w:ilvl="1">
      <w:start w:val="1"/>
      <w:numFmt w:val="bullet"/>
      <w:lvlText w:val=""/>
      <w:lvlJc w:val="left"/>
      <w:pPr>
        <w:tabs>
          <w:tab w:val="num" w:pos="860"/>
        </w:tabs>
        <w:ind w:left="860" w:hanging="576"/>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06B24C5"/>
    <w:multiLevelType w:val="hybridMultilevel"/>
    <w:tmpl w:val="A9EC2D66"/>
    <w:lvl w:ilvl="0" w:tplc="04070001">
      <w:start w:val="1"/>
      <w:numFmt w:val="bullet"/>
      <w:lvlText w:val=""/>
      <w:lvlJc w:val="left"/>
      <w:pPr>
        <w:ind w:left="720" w:hanging="360"/>
      </w:pPr>
      <w:rPr>
        <w:rFonts w:ascii="Symbol" w:hAnsi="Symbol" w:hint="default"/>
      </w:rPr>
    </w:lvl>
    <w:lvl w:ilvl="1" w:tplc="E77E8AC2">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2864BB"/>
    <w:multiLevelType w:val="hybridMultilevel"/>
    <w:tmpl w:val="2E6A0A34"/>
    <w:lvl w:ilvl="0" w:tplc="0C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32896D37"/>
    <w:multiLevelType w:val="hybridMultilevel"/>
    <w:tmpl w:val="76646CE4"/>
    <w:lvl w:ilvl="0" w:tplc="1B029612">
      <w:start w:val="1"/>
      <w:numFmt w:val="bullet"/>
      <w:pStyle w:val="AufzhlungenKlifonichtfet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F202ED"/>
    <w:multiLevelType w:val="hybridMultilevel"/>
    <w:tmpl w:val="DD7EBA6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75144F9"/>
    <w:multiLevelType w:val="hybridMultilevel"/>
    <w:tmpl w:val="0A70BBB6"/>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7E2A49"/>
    <w:multiLevelType w:val="multilevel"/>
    <w:tmpl w:val="2D602A2E"/>
    <w:lvl w:ilvl="0">
      <w:start w:val="1"/>
      <w:numFmt w:val="decimal"/>
      <w:lvlText w:val="%1."/>
      <w:lvlJc w:val="left"/>
      <w:pPr>
        <w:tabs>
          <w:tab w:val="num" w:pos="9929"/>
        </w:tabs>
        <w:ind w:left="9929" w:hanging="432"/>
      </w:pPr>
      <w:rPr>
        <w:rFonts w:hint="default"/>
      </w:rPr>
    </w:lvl>
    <w:lvl w:ilvl="1">
      <w:start w:val="1"/>
      <w:numFmt w:val="decimal"/>
      <w:lvlText w:val="%2."/>
      <w:lvlJc w:val="left"/>
      <w:pPr>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DDE163C"/>
    <w:multiLevelType w:val="hybridMultilevel"/>
    <w:tmpl w:val="1BEA3B5E"/>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6" w15:restartNumberingAfterBreak="0">
    <w:nsid w:val="4DEF7EC5"/>
    <w:multiLevelType w:val="hybridMultilevel"/>
    <w:tmpl w:val="27C07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0535F3"/>
    <w:multiLevelType w:val="hybridMultilevel"/>
    <w:tmpl w:val="823A684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7F7C48"/>
    <w:multiLevelType w:val="multilevel"/>
    <w:tmpl w:val="2276728E"/>
    <w:lvl w:ilvl="0">
      <w:start w:val="1"/>
      <w:numFmt w:val="decimal"/>
      <w:pStyle w:val="berschrift1"/>
      <w:lvlText w:val="%1."/>
      <w:lvlJc w:val="left"/>
      <w:pPr>
        <w:tabs>
          <w:tab w:val="num" w:pos="9788"/>
        </w:tabs>
        <w:ind w:left="9788" w:hanging="432"/>
      </w:pPr>
      <w:rPr>
        <w:rFonts w:hint="default"/>
      </w:rPr>
    </w:lvl>
    <w:lvl w:ilvl="1">
      <w:start w:val="1"/>
      <w:numFmt w:val="decimal"/>
      <w:pStyle w:val="berschrift2"/>
      <w:lvlText w:val="%1.%2"/>
      <w:lvlJc w:val="left"/>
      <w:pPr>
        <w:tabs>
          <w:tab w:val="num" w:pos="860"/>
        </w:tabs>
        <w:ind w:left="860"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9" w15:restartNumberingAfterBreak="0">
    <w:nsid w:val="5C237266"/>
    <w:multiLevelType w:val="multilevel"/>
    <w:tmpl w:val="1BDA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E07110"/>
    <w:multiLevelType w:val="hybridMultilevel"/>
    <w:tmpl w:val="9AD42510"/>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0E0B60"/>
    <w:multiLevelType w:val="hybridMultilevel"/>
    <w:tmpl w:val="17009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5A1AB3"/>
    <w:multiLevelType w:val="hybridMultilevel"/>
    <w:tmpl w:val="09F668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4B959ED"/>
    <w:multiLevelType w:val="hybridMultilevel"/>
    <w:tmpl w:val="6D40D028"/>
    <w:lvl w:ilvl="0" w:tplc="C718607A">
      <w:start w:val="1"/>
      <w:numFmt w:val="bullet"/>
      <w:pStyle w:val="AuzhlungenKlifo"/>
      <w:lvlText w:val=""/>
      <w:lvlJc w:val="left"/>
      <w:pPr>
        <w:ind w:left="567" w:hanging="283"/>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15:restartNumberingAfterBreak="0">
    <w:nsid w:val="69A648C1"/>
    <w:multiLevelType w:val="hybridMultilevel"/>
    <w:tmpl w:val="A3B01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A96B45"/>
    <w:multiLevelType w:val="hybridMultilevel"/>
    <w:tmpl w:val="6B4810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26E4904"/>
    <w:multiLevelType w:val="hybridMultilevel"/>
    <w:tmpl w:val="A94A031A"/>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36C554C"/>
    <w:multiLevelType w:val="multilevel"/>
    <w:tmpl w:val="404AA9C8"/>
    <w:lvl w:ilvl="0">
      <w:start w:val="1"/>
      <w:numFmt w:val="decimal"/>
      <w:lvlText w:val="%1."/>
      <w:lvlJc w:val="left"/>
      <w:pPr>
        <w:tabs>
          <w:tab w:val="num" w:pos="9929"/>
        </w:tabs>
        <w:ind w:left="9929" w:hanging="432"/>
      </w:pPr>
      <w:rPr>
        <w:rFonts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8"/>
  </w:num>
  <w:num w:numId="2">
    <w:abstractNumId w:val="5"/>
  </w:num>
  <w:num w:numId="3">
    <w:abstractNumId w:val="8"/>
  </w:num>
  <w:num w:numId="4">
    <w:abstractNumId w:val="7"/>
  </w:num>
  <w:num w:numId="5">
    <w:abstractNumId w:val="23"/>
  </w:num>
  <w:num w:numId="6">
    <w:abstractNumId w:val="10"/>
  </w:num>
  <w:num w:numId="7">
    <w:abstractNumId w:val="15"/>
  </w:num>
  <w:num w:numId="8">
    <w:abstractNumId w:val="6"/>
  </w:num>
  <w:num w:numId="9">
    <w:abstractNumId w:val="21"/>
  </w:num>
  <w:num w:numId="10">
    <w:abstractNumId w:val="16"/>
  </w:num>
  <w:num w:numId="11">
    <w:abstractNumId w:val="0"/>
  </w:num>
  <w:num w:numId="12">
    <w:abstractNumId w:val="24"/>
  </w:num>
  <w:num w:numId="13">
    <w:abstractNumId w:val="9"/>
  </w:num>
  <w:num w:numId="14">
    <w:abstractNumId w:val="20"/>
  </w:num>
  <w:num w:numId="15">
    <w:abstractNumId w:val="11"/>
  </w:num>
  <w:num w:numId="16">
    <w:abstractNumId w:val="1"/>
  </w:num>
  <w:num w:numId="17">
    <w:abstractNumId w:val="19"/>
  </w:num>
  <w:num w:numId="18">
    <w:abstractNumId w:val="2"/>
  </w:num>
  <w:num w:numId="19">
    <w:abstractNumId w:val="17"/>
  </w:num>
  <w:num w:numId="20">
    <w:abstractNumId w:val="13"/>
  </w:num>
  <w:num w:numId="21">
    <w:abstractNumId w:val="22"/>
  </w:num>
  <w:num w:numId="22">
    <w:abstractNumId w:val="12"/>
  </w:num>
  <w:num w:numId="23">
    <w:abstractNumId w:val="4"/>
  </w:num>
  <w:num w:numId="24">
    <w:abstractNumId w:val="26"/>
  </w:num>
  <w:num w:numId="25">
    <w:abstractNumId w:val="18"/>
  </w:num>
  <w:num w:numId="26">
    <w:abstractNumId w:val="14"/>
  </w:num>
  <w:num w:numId="27">
    <w:abstractNumId w:val="3"/>
  </w:num>
  <w:num w:numId="28">
    <w:abstractNumId w:val="27"/>
  </w:num>
  <w:num w:numId="29">
    <w:abstractNumId w:val="25"/>
  </w:num>
  <w:num w:numId="30">
    <w:abstractNumId w:val="23"/>
    <w:lvlOverride w:ilvl="0">
      <w:startOverride w:val="1"/>
    </w:lvlOverride>
  </w:num>
  <w:num w:numId="31">
    <w:abstractNumId w:val="11"/>
    <w:lvlOverride w:ilvl="0">
      <w:startOverride w:val="1"/>
    </w:lvlOverride>
  </w:num>
  <w:num w:numId="32">
    <w:abstractNumId w:val="23"/>
    <w:lvlOverride w:ilvl="0">
      <w:startOverride w:val="1"/>
    </w:lvlOverride>
  </w:num>
  <w:num w:numId="33">
    <w:abstractNumId w:val="11"/>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EB"/>
    <w:rsid w:val="0000184A"/>
    <w:rsid w:val="0000225E"/>
    <w:rsid w:val="00003FCF"/>
    <w:rsid w:val="00004CDA"/>
    <w:rsid w:val="00005581"/>
    <w:rsid w:val="00005BED"/>
    <w:rsid w:val="0001098A"/>
    <w:rsid w:val="0001113B"/>
    <w:rsid w:val="00012F25"/>
    <w:rsid w:val="00015195"/>
    <w:rsid w:val="00015672"/>
    <w:rsid w:val="000168AC"/>
    <w:rsid w:val="00017155"/>
    <w:rsid w:val="000203BD"/>
    <w:rsid w:val="00020E05"/>
    <w:rsid w:val="00024965"/>
    <w:rsid w:val="000250A1"/>
    <w:rsid w:val="0002597A"/>
    <w:rsid w:val="00026CF6"/>
    <w:rsid w:val="00027712"/>
    <w:rsid w:val="00027803"/>
    <w:rsid w:val="000278D1"/>
    <w:rsid w:val="00027E11"/>
    <w:rsid w:val="00033F08"/>
    <w:rsid w:val="00037DC0"/>
    <w:rsid w:val="000434A9"/>
    <w:rsid w:val="000442D2"/>
    <w:rsid w:val="000453CF"/>
    <w:rsid w:val="00047087"/>
    <w:rsid w:val="00050680"/>
    <w:rsid w:val="00054AE2"/>
    <w:rsid w:val="000572BC"/>
    <w:rsid w:val="00057464"/>
    <w:rsid w:val="00063C4C"/>
    <w:rsid w:val="0006485E"/>
    <w:rsid w:val="00066EA6"/>
    <w:rsid w:val="0006758F"/>
    <w:rsid w:val="00071248"/>
    <w:rsid w:val="000726C6"/>
    <w:rsid w:val="000737EF"/>
    <w:rsid w:val="0007539F"/>
    <w:rsid w:val="000763FF"/>
    <w:rsid w:val="00077464"/>
    <w:rsid w:val="000803C1"/>
    <w:rsid w:val="00081BEC"/>
    <w:rsid w:val="0008315A"/>
    <w:rsid w:val="000835B5"/>
    <w:rsid w:val="00084542"/>
    <w:rsid w:val="00086739"/>
    <w:rsid w:val="00086E5D"/>
    <w:rsid w:val="0009054C"/>
    <w:rsid w:val="00091096"/>
    <w:rsid w:val="00091956"/>
    <w:rsid w:val="00092980"/>
    <w:rsid w:val="000939FA"/>
    <w:rsid w:val="00095C3A"/>
    <w:rsid w:val="00095D87"/>
    <w:rsid w:val="000979D8"/>
    <w:rsid w:val="00097FB6"/>
    <w:rsid w:val="000A027B"/>
    <w:rsid w:val="000A0563"/>
    <w:rsid w:val="000A461F"/>
    <w:rsid w:val="000A5334"/>
    <w:rsid w:val="000A69E2"/>
    <w:rsid w:val="000B2718"/>
    <w:rsid w:val="000B2BF0"/>
    <w:rsid w:val="000B2C0F"/>
    <w:rsid w:val="000B39AB"/>
    <w:rsid w:val="000B4589"/>
    <w:rsid w:val="000B58FA"/>
    <w:rsid w:val="000B5DC1"/>
    <w:rsid w:val="000B6A1C"/>
    <w:rsid w:val="000C3ED1"/>
    <w:rsid w:val="000C5BC0"/>
    <w:rsid w:val="000D027B"/>
    <w:rsid w:val="000D22DC"/>
    <w:rsid w:val="000D57F2"/>
    <w:rsid w:val="000D6A7B"/>
    <w:rsid w:val="000D6B35"/>
    <w:rsid w:val="000D79A9"/>
    <w:rsid w:val="000D7F12"/>
    <w:rsid w:val="000E0780"/>
    <w:rsid w:val="000E08CB"/>
    <w:rsid w:val="000E396C"/>
    <w:rsid w:val="000E3D7F"/>
    <w:rsid w:val="000E4146"/>
    <w:rsid w:val="000E525F"/>
    <w:rsid w:val="000E58B0"/>
    <w:rsid w:val="000F0E5D"/>
    <w:rsid w:val="000F1496"/>
    <w:rsid w:val="000F1C2D"/>
    <w:rsid w:val="000F213E"/>
    <w:rsid w:val="000F2CFC"/>
    <w:rsid w:val="000F3F80"/>
    <w:rsid w:val="000F56F7"/>
    <w:rsid w:val="000F5CEC"/>
    <w:rsid w:val="00101B7A"/>
    <w:rsid w:val="00101E8A"/>
    <w:rsid w:val="00101F03"/>
    <w:rsid w:val="00102515"/>
    <w:rsid w:val="001069E0"/>
    <w:rsid w:val="00106EDD"/>
    <w:rsid w:val="0010730D"/>
    <w:rsid w:val="001105C3"/>
    <w:rsid w:val="0011067E"/>
    <w:rsid w:val="001133C1"/>
    <w:rsid w:val="00115A93"/>
    <w:rsid w:val="00116CF1"/>
    <w:rsid w:val="00117A71"/>
    <w:rsid w:val="00120C05"/>
    <w:rsid w:val="00120FD9"/>
    <w:rsid w:val="001211D8"/>
    <w:rsid w:val="00121FBA"/>
    <w:rsid w:val="00122395"/>
    <w:rsid w:val="0012256D"/>
    <w:rsid w:val="0012300B"/>
    <w:rsid w:val="001261E7"/>
    <w:rsid w:val="00126A50"/>
    <w:rsid w:val="00127B3A"/>
    <w:rsid w:val="00132AEA"/>
    <w:rsid w:val="00132C64"/>
    <w:rsid w:val="00132D59"/>
    <w:rsid w:val="00133BB5"/>
    <w:rsid w:val="0013497E"/>
    <w:rsid w:val="00140432"/>
    <w:rsid w:val="00140633"/>
    <w:rsid w:val="00142513"/>
    <w:rsid w:val="00143280"/>
    <w:rsid w:val="001436E2"/>
    <w:rsid w:val="00144956"/>
    <w:rsid w:val="00151D6F"/>
    <w:rsid w:val="001527F9"/>
    <w:rsid w:val="0015516B"/>
    <w:rsid w:val="001551F6"/>
    <w:rsid w:val="001552CD"/>
    <w:rsid w:val="0015608D"/>
    <w:rsid w:val="001560FC"/>
    <w:rsid w:val="00156110"/>
    <w:rsid w:val="0015652A"/>
    <w:rsid w:val="00156F94"/>
    <w:rsid w:val="001600E9"/>
    <w:rsid w:val="001612D4"/>
    <w:rsid w:val="00161C05"/>
    <w:rsid w:val="00162F55"/>
    <w:rsid w:val="00163255"/>
    <w:rsid w:val="00164D20"/>
    <w:rsid w:val="00165174"/>
    <w:rsid w:val="00165930"/>
    <w:rsid w:val="00165E42"/>
    <w:rsid w:val="001666AE"/>
    <w:rsid w:val="00170102"/>
    <w:rsid w:val="00170178"/>
    <w:rsid w:val="001721A8"/>
    <w:rsid w:val="00172A40"/>
    <w:rsid w:val="00173892"/>
    <w:rsid w:val="001763C5"/>
    <w:rsid w:val="00176F42"/>
    <w:rsid w:val="00182088"/>
    <w:rsid w:val="00184361"/>
    <w:rsid w:val="00186C03"/>
    <w:rsid w:val="00187599"/>
    <w:rsid w:val="001878EE"/>
    <w:rsid w:val="001903AD"/>
    <w:rsid w:val="00190C7C"/>
    <w:rsid w:val="00194048"/>
    <w:rsid w:val="0019636A"/>
    <w:rsid w:val="00196D2E"/>
    <w:rsid w:val="0019726E"/>
    <w:rsid w:val="001A0000"/>
    <w:rsid w:val="001A0EE1"/>
    <w:rsid w:val="001A1525"/>
    <w:rsid w:val="001A2BDC"/>
    <w:rsid w:val="001A4519"/>
    <w:rsid w:val="001A4C37"/>
    <w:rsid w:val="001A6925"/>
    <w:rsid w:val="001A7551"/>
    <w:rsid w:val="001B0742"/>
    <w:rsid w:val="001B3F32"/>
    <w:rsid w:val="001B4BF0"/>
    <w:rsid w:val="001C047C"/>
    <w:rsid w:val="001C0A83"/>
    <w:rsid w:val="001C2286"/>
    <w:rsid w:val="001C24FA"/>
    <w:rsid w:val="001C2E81"/>
    <w:rsid w:val="001C3706"/>
    <w:rsid w:val="001C392A"/>
    <w:rsid w:val="001C4E2A"/>
    <w:rsid w:val="001C5A70"/>
    <w:rsid w:val="001C7B96"/>
    <w:rsid w:val="001C7E59"/>
    <w:rsid w:val="001D4D5E"/>
    <w:rsid w:val="001D5254"/>
    <w:rsid w:val="001D5293"/>
    <w:rsid w:val="001D5A6C"/>
    <w:rsid w:val="001D5B6D"/>
    <w:rsid w:val="001D6520"/>
    <w:rsid w:val="001D68F1"/>
    <w:rsid w:val="001D7147"/>
    <w:rsid w:val="001D7AA5"/>
    <w:rsid w:val="001E0AD8"/>
    <w:rsid w:val="001E0EBF"/>
    <w:rsid w:val="001E2C8B"/>
    <w:rsid w:val="001E36A3"/>
    <w:rsid w:val="001E57F4"/>
    <w:rsid w:val="001E632C"/>
    <w:rsid w:val="001F1A27"/>
    <w:rsid w:val="001F45C8"/>
    <w:rsid w:val="001F4A88"/>
    <w:rsid w:val="001F4B58"/>
    <w:rsid w:val="001F5472"/>
    <w:rsid w:val="001F6767"/>
    <w:rsid w:val="001F70D4"/>
    <w:rsid w:val="001F7630"/>
    <w:rsid w:val="002001C4"/>
    <w:rsid w:val="00200E3A"/>
    <w:rsid w:val="002015ED"/>
    <w:rsid w:val="00202204"/>
    <w:rsid w:val="00203B4E"/>
    <w:rsid w:val="0020557A"/>
    <w:rsid w:val="00205850"/>
    <w:rsid w:val="00206B07"/>
    <w:rsid w:val="00206CC8"/>
    <w:rsid w:val="002077A8"/>
    <w:rsid w:val="0020780A"/>
    <w:rsid w:val="00210CB1"/>
    <w:rsid w:val="00211750"/>
    <w:rsid w:val="00215741"/>
    <w:rsid w:val="002210F9"/>
    <w:rsid w:val="00221374"/>
    <w:rsid w:val="0022144B"/>
    <w:rsid w:val="00224878"/>
    <w:rsid w:val="00224EEB"/>
    <w:rsid w:val="00224F8D"/>
    <w:rsid w:val="00225A85"/>
    <w:rsid w:val="00225C37"/>
    <w:rsid w:val="00226812"/>
    <w:rsid w:val="00231863"/>
    <w:rsid w:val="00232518"/>
    <w:rsid w:val="002330B2"/>
    <w:rsid w:val="00234ADC"/>
    <w:rsid w:val="00241BF0"/>
    <w:rsid w:val="00243304"/>
    <w:rsid w:val="002461BF"/>
    <w:rsid w:val="002462D4"/>
    <w:rsid w:val="00246C3A"/>
    <w:rsid w:val="00247D09"/>
    <w:rsid w:val="00251493"/>
    <w:rsid w:val="00253945"/>
    <w:rsid w:val="00253C58"/>
    <w:rsid w:val="0025559B"/>
    <w:rsid w:val="002556C1"/>
    <w:rsid w:val="00256EC0"/>
    <w:rsid w:val="0026020B"/>
    <w:rsid w:val="00262632"/>
    <w:rsid w:val="00262D3C"/>
    <w:rsid w:val="00263CD3"/>
    <w:rsid w:val="00264982"/>
    <w:rsid w:val="002655E9"/>
    <w:rsid w:val="00265B3C"/>
    <w:rsid w:val="002679A1"/>
    <w:rsid w:val="00267BC3"/>
    <w:rsid w:val="00270EDD"/>
    <w:rsid w:val="00271ECB"/>
    <w:rsid w:val="00272F2B"/>
    <w:rsid w:val="0027376D"/>
    <w:rsid w:val="00273981"/>
    <w:rsid w:val="00274A61"/>
    <w:rsid w:val="00274C10"/>
    <w:rsid w:val="00275D6F"/>
    <w:rsid w:val="00275E3E"/>
    <w:rsid w:val="00280440"/>
    <w:rsid w:val="0028161B"/>
    <w:rsid w:val="00282905"/>
    <w:rsid w:val="002853C3"/>
    <w:rsid w:val="00285D75"/>
    <w:rsid w:val="00286343"/>
    <w:rsid w:val="00293B75"/>
    <w:rsid w:val="0029469B"/>
    <w:rsid w:val="00294ECD"/>
    <w:rsid w:val="00297B90"/>
    <w:rsid w:val="002A0339"/>
    <w:rsid w:val="002A1EE0"/>
    <w:rsid w:val="002A25CD"/>
    <w:rsid w:val="002A4246"/>
    <w:rsid w:val="002A4277"/>
    <w:rsid w:val="002A461D"/>
    <w:rsid w:val="002A4CAC"/>
    <w:rsid w:val="002A5417"/>
    <w:rsid w:val="002A7A3A"/>
    <w:rsid w:val="002B0815"/>
    <w:rsid w:val="002B0A96"/>
    <w:rsid w:val="002B0E46"/>
    <w:rsid w:val="002B294A"/>
    <w:rsid w:val="002B2A56"/>
    <w:rsid w:val="002B36D4"/>
    <w:rsid w:val="002B40EB"/>
    <w:rsid w:val="002B4527"/>
    <w:rsid w:val="002B5D71"/>
    <w:rsid w:val="002B7D04"/>
    <w:rsid w:val="002C0F26"/>
    <w:rsid w:val="002C19B1"/>
    <w:rsid w:val="002C1A28"/>
    <w:rsid w:val="002C2013"/>
    <w:rsid w:val="002C3BC0"/>
    <w:rsid w:val="002C41CE"/>
    <w:rsid w:val="002C53DB"/>
    <w:rsid w:val="002C627D"/>
    <w:rsid w:val="002D1C1D"/>
    <w:rsid w:val="002D25C8"/>
    <w:rsid w:val="002D5EB6"/>
    <w:rsid w:val="002D6F69"/>
    <w:rsid w:val="002D6FE1"/>
    <w:rsid w:val="002E0394"/>
    <w:rsid w:val="002E1243"/>
    <w:rsid w:val="002E25F5"/>
    <w:rsid w:val="002E3233"/>
    <w:rsid w:val="002E3F81"/>
    <w:rsid w:val="002E3FD1"/>
    <w:rsid w:val="002E4867"/>
    <w:rsid w:val="002E557E"/>
    <w:rsid w:val="002E577F"/>
    <w:rsid w:val="002E62B8"/>
    <w:rsid w:val="002E78AF"/>
    <w:rsid w:val="002F0EF1"/>
    <w:rsid w:val="002F3846"/>
    <w:rsid w:val="002F4E08"/>
    <w:rsid w:val="002F5BAE"/>
    <w:rsid w:val="002F5C50"/>
    <w:rsid w:val="002F629D"/>
    <w:rsid w:val="003006A3"/>
    <w:rsid w:val="00300C1A"/>
    <w:rsid w:val="00300DA2"/>
    <w:rsid w:val="003012F5"/>
    <w:rsid w:val="00302154"/>
    <w:rsid w:val="00310791"/>
    <w:rsid w:val="00311840"/>
    <w:rsid w:val="003126BE"/>
    <w:rsid w:val="003128A3"/>
    <w:rsid w:val="00313CCA"/>
    <w:rsid w:val="003143D9"/>
    <w:rsid w:val="003146E8"/>
    <w:rsid w:val="003170E0"/>
    <w:rsid w:val="003213CD"/>
    <w:rsid w:val="00321BD2"/>
    <w:rsid w:val="00322353"/>
    <w:rsid w:val="00322D90"/>
    <w:rsid w:val="00324D86"/>
    <w:rsid w:val="00326DFF"/>
    <w:rsid w:val="00331023"/>
    <w:rsid w:val="00332582"/>
    <w:rsid w:val="00332F9D"/>
    <w:rsid w:val="00335CC3"/>
    <w:rsid w:val="003361E0"/>
    <w:rsid w:val="003364CD"/>
    <w:rsid w:val="0033716A"/>
    <w:rsid w:val="00340F94"/>
    <w:rsid w:val="00342DED"/>
    <w:rsid w:val="0034300B"/>
    <w:rsid w:val="0034329A"/>
    <w:rsid w:val="00343914"/>
    <w:rsid w:val="00345363"/>
    <w:rsid w:val="00346C6A"/>
    <w:rsid w:val="00350EB7"/>
    <w:rsid w:val="00354B4D"/>
    <w:rsid w:val="00355A13"/>
    <w:rsid w:val="00356B11"/>
    <w:rsid w:val="0035700F"/>
    <w:rsid w:val="00361118"/>
    <w:rsid w:val="00361264"/>
    <w:rsid w:val="00361AAD"/>
    <w:rsid w:val="00362586"/>
    <w:rsid w:val="003637FF"/>
    <w:rsid w:val="00363ED5"/>
    <w:rsid w:val="00364DE4"/>
    <w:rsid w:val="00370318"/>
    <w:rsid w:val="00371569"/>
    <w:rsid w:val="00372A0B"/>
    <w:rsid w:val="00374397"/>
    <w:rsid w:val="003749D0"/>
    <w:rsid w:val="00375167"/>
    <w:rsid w:val="003806D8"/>
    <w:rsid w:val="00381C68"/>
    <w:rsid w:val="00382F24"/>
    <w:rsid w:val="003865D7"/>
    <w:rsid w:val="00386856"/>
    <w:rsid w:val="00387A35"/>
    <w:rsid w:val="0039022E"/>
    <w:rsid w:val="003908AF"/>
    <w:rsid w:val="00391DB9"/>
    <w:rsid w:val="00392040"/>
    <w:rsid w:val="00392C72"/>
    <w:rsid w:val="00393F26"/>
    <w:rsid w:val="0039468F"/>
    <w:rsid w:val="00397208"/>
    <w:rsid w:val="003972CA"/>
    <w:rsid w:val="00397CAB"/>
    <w:rsid w:val="00397E80"/>
    <w:rsid w:val="003A2151"/>
    <w:rsid w:val="003A447B"/>
    <w:rsid w:val="003A5086"/>
    <w:rsid w:val="003B1561"/>
    <w:rsid w:val="003B1D04"/>
    <w:rsid w:val="003B24E2"/>
    <w:rsid w:val="003B4BF6"/>
    <w:rsid w:val="003B5410"/>
    <w:rsid w:val="003B554B"/>
    <w:rsid w:val="003B58F9"/>
    <w:rsid w:val="003B7E30"/>
    <w:rsid w:val="003C02FF"/>
    <w:rsid w:val="003C0D2F"/>
    <w:rsid w:val="003C31C4"/>
    <w:rsid w:val="003C383B"/>
    <w:rsid w:val="003C3A29"/>
    <w:rsid w:val="003C40D2"/>
    <w:rsid w:val="003D04FC"/>
    <w:rsid w:val="003D5029"/>
    <w:rsid w:val="003D569A"/>
    <w:rsid w:val="003D59BE"/>
    <w:rsid w:val="003E092A"/>
    <w:rsid w:val="003E18C8"/>
    <w:rsid w:val="003E25DD"/>
    <w:rsid w:val="003E5195"/>
    <w:rsid w:val="003E5CDA"/>
    <w:rsid w:val="003E6AB1"/>
    <w:rsid w:val="003E79F9"/>
    <w:rsid w:val="003F0029"/>
    <w:rsid w:val="003F0FCB"/>
    <w:rsid w:val="003F24F6"/>
    <w:rsid w:val="003F3187"/>
    <w:rsid w:val="003F3616"/>
    <w:rsid w:val="003F49D7"/>
    <w:rsid w:val="003F6294"/>
    <w:rsid w:val="003F7A39"/>
    <w:rsid w:val="004010B9"/>
    <w:rsid w:val="00402459"/>
    <w:rsid w:val="00404FB3"/>
    <w:rsid w:val="00404FC8"/>
    <w:rsid w:val="004061EC"/>
    <w:rsid w:val="0040658B"/>
    <w:rsid w:val="00407039"/>
    <w:rsid w:val="00410953"/>
    <w:rsid w:val="004109F0"/>
    <w:rsid w:val="00410D8E"/>
    <w:rsid w:val="0041207C"/>
    <w:rsid w:val="00412A19"/>
    <w:rsid w:val="00412B3E"/>
    <w:rsid w:val="00412BC4"/>
    <w:rsid w:val="0041312F"/>
    <w:rsid w:val="00413A6C"/>
    <w:rsid w:val="004146CD"/>
    <w:rsid w:val="00415701"/>
    <w:rsid w:val="00416038"/>
    <w:rsid w:val="00416267"/>
    <w:rsid w:val="004163DC"/>
    <w:rsid w:val="00416E71"/>
    <w:rsid w:val="0041773F"/>
    <w:rsid w:val="00417BE5"/>
    <w:rsid w:val="00421643"/>
    <w:rsid w:val="0042214C"/>
    <w:rsid w:val="00422B8D"/>
    <w:rsid w:val="00424AA8"/>
    <w:rsid w:val="00425E4C"/>
    <w:rsid w:val="00426809"/>
    <w:rsid w:val="00431DD1"/>
    <w:rsid w:val="004344B1"/>
    <w:rsid w:val="004354FA"/>
    <w:rsid w:val="0043619D"/>
    <w:rsid w:val="0043683A"/>
    <w:rsid w:val="0043692E"/>
    <w:rsid w:val="00436EC8"/>
    <w:rsid w:val="00437E0E"/>
    <w:rsid w:val="00440DFE"/>
    <w:rsid w:val="00441548"/>
    <w:rsid w:val="004419A0"/>
    <w:rsid w:val="0044202F"/>
    <w:rsid w:val="004439B7"/>
    <w:rsid w:val="004440BF"/>
    <w:rsid w:val="00450090"/>
    <w:rsid w:val="004544E3"/>
    <w:rsid w:val="0045727B"/>
    <w:rsid w:val="00457523"/>
    <w:rsid w:val="00457EFA"/>
    <w:rsid w:val="0046550F"/>
    <w:rsid w:val="00466B6E"/>
    <w:rsid w:val="004670A1"/>
    <w:rsid w:val="00473064"/>
    <w:rsid w:val="0047371D"/>
    <w:rsid w:val="00476FD3"/>
    <w:rsid w:val="00477663"/>
    <w:rsid w:val="00481A3F"/>
    <w:rsid w:val="00483FA5"/>
    <w:rsid w:val="00484C0F"/>
    <w:rsid w:val="00484E11"/>
    <w:rsid w:val="00486EF7"/>
    <w:rsid w:val="0049453E"/>
    <w:rsid w:val="004A1B8A"/>
    <w:rsid w:val="004A3554"/>
    <w:rsid w:val="004A40D9"/>
    <w:rsid w:val="004A6A31"/>
    <w:rsid w:val="004A7B96"/>
    <w:rsid w:val="004B35BC"/>
    <w:rsid w:val="004B5EF9"/>
    <w:rsid w:val="004B6935"/>
    <w:rsid w:val="004C0DD7"/>
    <w:rsid w:val="004C34F4"/>
    <w:rsid w:val="004C606C"/>
    <w:rsid w:val="004C6245"/>
    <w:rsid w:val="004D1145"/>
    <w:rsid w:val="004D23DF"/>
    <w:rsid w:val="004D2CA0"/>
    <w:rsid w:val="004D3729"/>
    <w:rsid w:val="004D3A95"/>
    <w:rsid w:val="004D4F55"/>
    <w:rsid w:val="004D5068"/>
    <w:rsid w:val="004D6B12"/>
    <w:rsid w:val="004D6E6F"/>
    <w:rsid w:val="004D79B1"/>
    <w:rsid w:val="004E07E9"/>
    <w:rsid w:val="004E40F1"/>
    <w:rsid w:val="004E453D"/>
    <w:rsid w:val="004E76E8"/>
    <w:rsid w:val="004F0040"/>
    <w:rsid w:val="004F1361"/>
    <w:rsid w:val="004F205F"/>
    <w:rsid w:val="004F3154"/>
    <w:rsid w:val="004F3CFA"/>
    <w:rsid w:val="004F3E96"/>
    <w:rsid w:val="004F715B"/>
    <w:rsid w:val="00506AE1"/>
    <w:rsid w:val="005072A1"/>
    <w:rsid w:val="0051109B"/>
    <w:rsid w:val="00511797"/>
    <w:rsid w:val="00514DCB"/>
    <w:rsid w:val="00515E60"/>
    <w:rsid w:val="005169FF"/>
    <w:rsid w:val="00516B5C"/>
    <w:rsid w:val="005173E2"/>
    <w:rsid w:val="0052076C"/>
    <w:rsid w:val="00526691"/>
    <w:rsid w:val="00532060"/>
    <w:rsid w:val="005320B3"/>
    <w:rsid w:val="0053297C"/>
    <w:rsid w:val="00532F6B"/>
    <w:rsid w:val="005370CB"/>
    <w:rsid w:val="0054078B"/>
    <w:rsid w:val="00544251"/>
    <w:rsid w:val="005457AF"/>
    <w:rsid w:val="00546BE0"/>
    <w:rsid w:val="00550B84"/>
    <w:rsid w:val="00551665"/>
    <w:rsid w:val="00551CFE"/>
    <w:rsid w:val="005531B5"/>
    <w:rsid w:val="00555D41"/>
    <w:rsid w:val="0055670E"/>
    <w:rsid w:val="00556D20"/>
    <w:rsid w:val="005578C8"/>
    <w:rsid w:val="00560995"/>
    <w:rsid w:val="00563A17"/>
    <w:rsid w:val="00566AC8"/>
    <w:rsid w:val="00570EBF"/>
    <w:rsid w:val="00571510"/>
    <w:rsid w:val="00571766"/>
    <w:rsid w:val="00572F7B"/>
    <w:rsid w:val="005733F6"/>
    <w:rsid w:val="00573F50"/>
    <w:rsid w:val="005746E1"/>
    <w:rsid w:val="005769EC"/>
    <w:rsid w:val="00576AAC"/>
    <w:rsid w:val="00576F91"/>
    <w:rsid w:val="00580992"/>
    <w:rsid w:val="005816DF"/>
    <w:rsid w:val="005831DE"/>
    <w:rsid w:val="00584F15"/>
    <w:rsid w:val="00584FC4"/>
    <w:rsid w:val="00586F19"/>
    <w:rsid w:val="00592077"/>
    <w:rsid w:val="00592640"/>
    <w:rsid w:val="0059316C"/>
    <w:rsid w:val="00593BAC"/>
    <w:rsid w:val="00594C33"/>
    <w:rsid w:val="00596DA9"/>
    <w:rsid w:val="005A0FCD"/>
    <w:rsid w:val="005A1244"/>
    <w:rsid w:val="005A12CD"/>
    <w:rsid w:val="005A2AFE"/>
    <w:rsid w:val="005A2D4F"/>
    <w:rsid w:val="005A410B"/>
    <w:rsid w:val="005A4615"/>
    <w:rsid w:val="005A6609"/>
    <w:rsid w:val="005A6E76"/>
    <w:rsid w:val="005B04CC"/>
    <w:rsid w:val="005B0692"/>
    <w:rsid w:val="005B3167"/>
    <w:rsid w:val="005B32C9"/>
    <w:rsid w:val="005B3675"/>
    <w:rsid w:val="005B4F31"/>
    <w:rsid w:val="005B70A7"/>
    <w:rsid w:val="005B738C"/>
    <w:rsid w:val="005B761A"/>
    <w:rsid w:val="005C0EF0"/>
    <w:rsid w:val="005C2A59"/>
    <w:rsid w:val="005C3E02"/>
    <w:rsid w:val="005C50CC"/>
    <w:rsid w:val="005C536F"/>
    <w:rsid w:val="005C54B2"/>
    <w:rsid w:val="005C691D"/>
    <w:rsid w:val="005C746E"/>
    <w:rsid w:val="005D014C"/>
    <w:rsid w:val="005D320F"/>
    <w:rsid w:val="005D79C3"/>
    <w:rsid w:val="005E0DEF"/>
    <w:rsid w:val="005E3A90"/>
    <w:rsid w:val="005E730D"/>
    <w:rsid w:val="005E7884"/>
    <w:rsid w:val="005F0311"/>
    <w:rsid w:val="005F0C81"/>
    <w:rsid w:val="005F11B3"/>
    <w:rsid w:val="005F2619"/>
    <w:rsid w:val="005F2AF7"/>
    <w:rsid w:val="005F6156"/>
    <w:rsid w:val="006006CF"/>
    <w:rsid w:val="0060082A"/>
    <w:rsid w:val="006046EA"/>
    <w:rsid w:val="00604A7A"/>
    <w:rsid w:val="00605194"/>
    <w:rsid w:val="00610FA4"/>
    <w:rsid w:val="0061108F"/>
    <w:rsid w:val="006120AC"/>
    <w:rsid w:val="006134FD"/>
    <w:rsid w:val="00615271"/>
    <w:rsid w:val="0061623D"/>
    <w:rsid w:val="006168EB"/>
    <w:rsid w:val="0061697D"/>
    <w:rsid w:val="00624C83"/>
    <w:rsid w:val="00624CD9"/>
    <w:rsid w:val="00626860"/>
    <w:rsid w:val="00626D6C"/>
    <w:rsid w:val="006313DF"/>
    <w:rsid w:val="00633B48"/>
    <w:rsid w:val="00635239"/>
    <w:rsid w:val="0063534F"/>
    <w:rsid w:val="006400AF"/>
    <w:rsid w:val="00641B1F"/>
    <w:rsid w:val="00641EA3"/>
    <w:rsid w:val="00645AF7"/>
    <w:rsid w:val="00650806"/>
    <w:rsid w:val="00652753"/>
    <w:rsid w:val="00654430"/>
    <w:rsid w:val="00654A28"/>
    <w:rsid w:val="00655439"/>
    <w:rsid w:val="00657929"/>
    <w:rsid w:val="00663BF9"/>
    <w:rsid w:val="0066420B"/>
    <w:rsid w:val="00664973"/>
    <w:rsid w:val="006669E1"/>
    <w:rsid w:val="00666B1A"/>
    <w:rsid w:val="00666E4C"/>
    <w:rsid w:val="0067053D"/>
    <w:rsid w:val="00672D0A"/>
    <w:rsid w:val="0067351B"/>
    <w:rsid w:val="0067394B"/>
    <w:rsid w:val="00674166"/>
    <w:rsid w:val="00676457"/>
    <w:rsid w:val="00676591"/>
    <w:rsid w:val="00676E09"/>
    <w:rsid w:val="00676E2A"/>
    <w:rsid w:val="00681AE3"/>
    <w:rsid w:val="006820F1"/>
    <w:rsid w:val="006827F6"/>
    <w:rsid w:val="00682F2D"/>
    <w:rsid w:val="006861EE"/>
    <w:rsid w:val="006869F1"/>
    <w:rsid w:val="006874C4"/>
    <w:rsid w:val="00690469"/>
    <w:rsid w:val="006906EE"/>
    <w:rsid w:val="0069114B"/>
    <w:rsid w:val="00691590"/>
    <w:rsid w:val="0069164E"/>
    <w:rsid w:val="00691AFD"/>
    <w:rsid w:val="00692324"/>
    <w:rsid w:val="00693A0E"/>
    <w:rsid w:val="00694D54"/>
    <w:rsid w:val="006965BC"/>
    <w:rsid w:val="006A0106"/>
    <w:rsid w:val="006A1909"/>
    <w:rsid w:val="006A31C5"/>
    <w:rsid w:val="006A3327"/>
    <w:rsid w:val="006A4294"/>
    <w:rsid w:val="006A4E67"/>
    <w:rsid w:val="006B0060"/>
    <w:rsid w:val="006B009F"/>
    <w:rsid w:val="006B068A"/>
    <w:rsid w:val="006B0E8E"/>
    <w:rsid w:val="006B1217"/>
    <w:rsid w:val="006B246C"/>
    <w:rsid w:val="006B2C43"/>
    <w:rsid w:val="006B4264"/>
    <w:rsid w:val="006B5B52"/>
    <w:rsid w:val="006B6CB8"/>
    <w:rsid w:val="006B6EC9"/>
    <w:rsid w:val="006B6F27"/>
    <w:rsid w:val="006C159A"/>
    <w:rsid w:val="006C2854"/>
    <w:rsid w:val="006C4DD6"/>
    <w:rsid w:val="006C5539"/>
    <w:rsid w:val="006C7C39"/>
    <w:rsid w:val="006D22EC"/>
    <w:rsid w:val="006D2B0C"/>
    <w:rsid w:val="006D4E3A"/>
    <w:rsid w:val="006D546D"/>
    <w:rsid w:val="006D7683"/>
    <w:rsid w:val="006D77FF"/>
    <w:rsid w:val="006D78D0"/>
    <w:rsid w:val="006D7D52"/>
    <w:rsid w:val="006E1E48"/>
    <w:rsid w:val="006E2B21"/>
    <w:rsid w:val="006E3747"/>
    <w:rsid w:val="006E55A2"/>
    <w:rsid w:val="006E6F2B"/>
    <w:rsid w:val="006E7EEB"/>
    <w:rsid w:val="006E7FFA"/>
    <w:rsid w:val="006F0291"/>
    <w:rsid w:val="006F2320"/>
    <w:rsid w:val="006F27DF"/>
    <w:rsid w:val="006F437F"/>
    <w:rsid w:val="006F5963"/>
    <w:rsid w:val="006F7180"/>
    <w:rsid w:val="00701AA8"/>
    <w:rsid w:val="00703073"/>
    <w:rsid w:val="0070475B"/>
    <w:rsid w:val="007068A1"/>
    <w:rsid w:val="007074FE"/>
    <w:rsid w:val="00707C05"/>
    <w:rsid w:val="007116D2"/>
    <w:rsid w:val="007140F3"/>
    <w:rsid w:val="00720C63"/>
    <w:rsid w:val="00720E22"/>
    <w:rsid w:val="00727782"/>
    <w:rsid w:val="00730B76"/>
    <w:rsid w:val="00733B47"/>
    <w:rsid w:val="00735C0D"/>
    <w:rsid w:val="00736F5B"/>
    <w:rsid w:val="00737162"/>
    <w:rsid w:val="00737BDE"/>
    <w:rsid w:val="00737EF6"/>
    <w:rsid w:val="007413E9"/>
    <w:rsid w:val="00741D74"/>
    <w:rsid w:val="00743FF8"/>
    <w:rsid w:val="00745182"/>
    <w:rsid w:val="0074756D"/>
    <w:rsid w:val="00750E4D"/>
    <w:rsid w:val="00755416"/>
    <w:rsid w:val="00755694"/>
    <w:rsid w:val="00757852"/>
    <w:rsid w:val="00761FCA"/>
    <w:rsid w:val="00762088"/>
    <w:rsid w:val="007636DC"/>
    <w:rsid w:val="00763B7F"/>
    <w:rsid w:val="00764156"/>
    <w:rsid w:val="00767888"/>
    <w:rsid w:val="00773B81"/>
    <w:rsid w:val="00773D9C"/>
    <w:rsid w:val="00774A54"/>
    <w:rsid w:val="00776A85"/>
    <w:rsid w:val="00780CC8"/>
    <w:rsid w:val="00780F06"/>
    <w:rsid w:val="007834E0"/>
    <w:rsid w:val="00783542"/>
    <w:rsid w:val="00787106"/>
    <w:rsid w:val="0079200C"/>
    <w:rsid w:val="00792343"/>
    <w:rsid w:val="00792523"/>
    <w:rsid w:val="00793B54"/>
    <w:rsid w:val="00795048"/>
    <w:rsid w:val="00796A01"/>
    <w:rsid w:val="00796BAB"/>
    <w:rsid w:val="00797E3A"/>
    <w:rsid w:val="00797FA4"/>
    <w:rsid w:val="007A0DCA"/>
    <w:rsid w:val="007A1332"/>
    <w:rsid w:val="007A1F3F"/>
    <w:rsid w:val="007A29CA"/>
    <w:rsid w:val="007A5600"/>
    <w:rsid w:val="007A693B"/>
    <w:rsid w:val="007A7995"/>
    <w:rsid w:val="007B06CE"/>
    <w:rsid w:val="007B0E1E"/>
    <w:rsid w:val="007B3F67"/>
    <w:rsid w:val="007B4A3B"/>
    <w:rsid w:val="007B5A19"/>
    <w:rsid w:val="007B5DDD"/>
    <w:rsid w:val="007B5E81"/>
    <w:rsid w:val="007B5F13"/>
    <w:rsid w:val="007B62D0"/>
    <w:rsid w:val="007B7231"/>
    <w:rsid w:val="007C017B"/>
    <w:rsid w:val="007C1BC5"/>
    <w:rsid w:val="007C26FB"/>
    <w:rsid w:val="007C2818"/>
    <w:rsid w:val="007C4313"/>
    <w:rsid w:val="007C55A9"/>
    <w:rsid w:val="007C5AEB"/>
    <w:rsid w:val="007C5CD8"/>
    <w:rsid w:val="007D11EC"/>
    <w:rsid w:val="007D155D"/>
    <w:rsid w:val="007D1F9D"/>
    <w:rsid w:val="007D245B"/>
    <w:rsid w:val="007D4BBC"/>
    <w:rsid w:val="007D5FA4"/>
    <w:rsid w:val="007D659F"/>
    <w:rsid w:val="007D7B68"/>
    <w:rsid w:val="007E0F93"/>
    <w:rsid w:val="007E1B1B"/>
    <w:rsid w:val="007E34EB"/>
    <w:rsid w:val="007E3894"/>
    <w:rsid w:val="007E4C7B"/>
    <w:rsid w:val="007E6C64"/>
    <w:rsid w:val="007E7F23"/>
    <w:rsid w:val="007F29E8"/>
    <w:rsid w:val="007F32AE"/>
    <w:rsid w:val="007F3C0E"/>
    <w:rsid w:val="007F3FCC"/>
    <w:rsid w:val="007F408A"/>
    <w:rsid w:val="007F40F0"/>
    <w:rsid w:val="007F52F4"/>
    <w:rsid w:val="007F560F"/>
    <w:rsid w:val="007F62B9"/>
    <w:rsid w:val="007F63A8"/>
    <w:rsid w:val="007F72ED"/>
    <w:rsid w:val="00800262"/>
    <w:rsid w:val="00800E6A"/>
    <w:rsid w:val="00801059"/>
    <w:rsid w:val="0080270C"/>
    <w:rsid w:val="0080588E"/>
    <w:rsid w:val="00806BE2"/>
    <w:rsid w:val="0081025F"/>
    <w:rsid w:val="008103D4"/>
    <w:rsid w:val="00811AE6"/>
    <w:rsid w:val="00812BD1"/>
    <w:rsid w:val="00813300"/>
    <w:rsid w:val="00815506"/>
    <w:rsid w:val="00817029"/>
    <w:rsid w:val="0081757B"/>
    <w:rsid w:val="008203F4"/>
    <w:rsid w:val="0082284F"/>
    <w:rsid w:val="00823240"/>
    <w:rsid w:val="00823B80"/>
    <w:rsid w:val="00825751"/>
    <w:rsid w:val="00830F44"/>
    <w:rsid w:val="00832E06"/>
    <w:rsid w:val="00834C34"/>
    <w:rsid w:val="00837FD5"/>
    <w:rsid w:val="00840877"/>
    <w:rsid w:val="0084091F"/>
    <w:rsid w:val="00842EE6"/>
    <w:rsid w:val="008455D9"/>
    <w:rsid w:val="00845D54"/>
    <w:rsid w:val="00845D87"/>
    <w:rsid w:val="00851543"/>
    <w:rsid w:val="00851D46"/>
    <w:rsid w:val="00854D87"/>
    <w:rsid w:val="008571CD"/>
    <w:rsid w:val="008605E1"/>
    <w:rsid w:val="00861406"/>
    <w:rsid w:val="00861537"/>
    <w:rsid w:val="0086340C"/>
    <w:rsid w:val="0086431A"/>
    <w:rsid w:val="00864918"/>
    <w:rsid w:val="00866A71"/>
    <w:rsid w:val="00867CE4"/>
    <w:rsid w:val="008703AC"/>
    <w:rsid w:val="008716A7"/>
    <w:rsid w:val="0087261F"/>
    <w:rsid w:val="0087336B"/>
    <w:rsid w:val="0087374D"/>
    <w:rsid w:val="008737AC"/>
    <w:rsid w:val="0087427E"/>
    <w:rsid w:val="00874B4E"/>
    <w:rsid w:val="00876338"/>
    <w:rsid w:val="00876D06"/>
    <w:rsid w:val="00881AFD"/>
    <w:rsid w:val="008845E6"/>
    <w:rsid w:val="008849B2"/>
    <w:rsid w:val="00891F05"/>
    <w:rsid w:val="00894D1C"/>
    <w:rsid w:val="00895112"/>
    <w:rsid w:val="00896362"/>
    <w:rsid w:val="0089695A"/>
    <w:rsid w:val="0089788F"/>
    <w:rsid w:val="008A0B47"/>
    <w:rsid w:val="008A270D"/>
    <w:rsid w:val="008A3E5C"/>
    <w:rsid w:val="008A6ECE"/>
    <w:rsid w:val="008B0BA2"/>
    <w:rsid w:val="008B0BE6"/>
    <w:rsid w:val="008B1BCC"/>
    <w:rsid w:val="008B2799"/>
    <w:rsid w:val="008B279A"/>
    <w:rsid w:val="008B406F"/>
    <w:rsid w:val="008C086C"/>
    <w:rsid w:val="008C169B"/>
    <w:rsid w:val="008C3A46"/>
    <w:rsid w:val="008C444F"/>
    <w:rsid w:val="008C48E3"/>
    <w:rsid w:val="008C5C6A"/>
    <w:rsid w:val="008C7B31"/>
    <w:rsid w:val="008D088F"/>
    <w:rsid w:val="008D25DA"/>
    <w:rsid w:val="008D329C"/>
    <w:rsid w:val="008D41EB"/>
    <w:rsid w:val="008D4752"/>
    <w:rsid w:val="008D6BD2"/>
    <w:rsid w:val="008E0381"/>
    <w:rsid w:val="008E2E65"/>
    <w:rsid w:val="008E46F4"/>
    <w:rsid w:val="008E4AE2"/>
    <w:rsid w:val="008E50B5"/>
    <w:rsid w:val="008E734C"/>
    <w:rsid w:val="008E7F72"/>
    <w:rsid w:val="008F4117"/>
    <w:rsid w:val="008F5E6A"/>
    <w:rsid w:val="008F5E7F"/>
    <w:rsid w:val="008F718E"/>
    <w:rsid w:val="008F7ADC"/>
    <w:rsid w:val="009004AE"/>
    <w:rsid w:val="0090356B"/>
    <w:rsid w:val="0090415C"/>
    <w:rsid w:val="00904339"/>
    <w:rsid w:val="00904647"/>
    <w:rsid w:val="00904B41"/>
    <w:rsid w:val="00907EF8"/>
    <w:rsid w:val="00907FA6"/>
    <w:rsid w:val="00911780"/>
    <w:rsid w:val="00911D69"/>
    <w:rsid w:val="0091363A"/>
    <w:rsid w:val="00915F8E"/>
    <w:rsid w:val="00916556"/>
    <w:rsid w:val="009211BF"/>
    <w:rsid w:val="00921321"/>
    <w:rsid w:val="0092342B"/>
    <w:rsid w:val="00923E95"/>
    <w:rsid w:val="00923E9B"/>
    <w:rsid w:val="00924518"/>
    <w:rsid w:val="00930BAF"/>
    <w:rsid w:val="00930E4C"/>
    <w:rsid w:val="00930F30"/>
    <w:rsid w:val="00931296"/>
    <w:rsid w:val="00933CD0"/>
    <w:rsid w:val="0093430D"/>
    <w:rsid w:val="0093443B"/>
    <w:rsid w:val="0093741F"/>
    <w:rsid w:val="00940161"/>
    <w:rsid w:val="0094060D"/>
    <w:rsid w:val="00940E28"/>
    <w:rsid w:val="00941D16"/>
    <w:rsid w:val="00943A13"/>
    <w:rsid w:val="00943AAD"/>
    <w:rsid w:val="00947480"/>
    <w:rsid w:val="00947AF5"/>
    <w:rsid w:val="00947D2A"/>
    <w:rsid w:val="009506AB"/>
    <w:rsid w:val="0095138B"/>
    <w:rsid w:val="00952563"/>
    <w:rsid w:val="009537A3"/>
    <w:rsid w:val="00953CB8"/>
    <w:rsid w:val="00954B3F"/>
    <w:rsid w:val="009562C0"/>
    <w:rsid w:val="00956BB7"/>
    <w:rsid w:val="00960552"/>
    <w:rsid w:val="00960E39"/>
    <w:rsid w:val="00963299"/>
    <w:rsid w:val="009647DF"/>
    <w:rsid w:val="00965CB0"/>
    <w:rsid w:val="00970FC0"/>
    <w:rsid w:val="00974E17"/>
    <w:rsid w:val="00977F78"/>
    <w:rsid w:val="0098038D"/>
    <w:rsid w:val="00983853"/>
    <w:rsid w:val="00985D6E"/>
    <w:rsid w:val="00986508"/>
    <w:rsid w:val="00991463"/>
    <w:rsid w:val="0099313E"/>
    <w:rsid w:val="00993AF1"/>
    <w:rsid w:val="00995FB8"/>
    <w:rsid w:val="00997F53"/>
    <w:rsid w:val="009A0AF0"/>
    <w:rsid w:val="009A0EE3"/>
    <w:rsid w:val="009A40A6"/>
    <w:rsid w:val="009A557D"/>
    <w:rsid w:val="009A6429"/>
    <w:rsid w:val="009A6C7F"/>
    <w:rsid w:val="009A6F5B"/>
    <w:rsid w:val="009B213F"/>
    <w:rsid w:val="009B3239"/>
    <w:rsid w:val="009B4CBD"/>
    <w:rsid w:val="009B784C"/>
    <w:rsid w:val="009B7878"/>
    <w:rsid w:val="009B7C41"/>
    <w:rsid w:val="009C108D"/>
    <w:rsid w:val="009C20E1"/>
    <w:rsid w:val="009C58DA"/>
    <w:rsid w:val="009C69F1"/>
    <w:rsid w:val="009C6CDF"/>
    <w:rsid w:val="009D28E1"/>
    <w:rsid w:val="009D356B"/>
    <w:rsid w:val="009D3816"/>
    <w:rsid w:val="009D7A2B"/>
    <w:rsid w:val="009E1158"/>
    <w:rsid w:val="009E20AE"/>
    <w:rsid w:val="009E3ED5"/>
    <w:rsid w:val="009F03DD"/>
    <w:rsid w:val="009F17C7"/>
    <w:rsid w:val="009F236C"/>
    <w:rsid w:val="009F2E9F"/>
    <w:rsid w:val="009F4195"/>
    <w:rsid w:val="009F45B4"/>
    <w:rsid w:val="009F476E"/>
    <w:rsid w:val="009F5A03"/>
    <w:rsid w:val="009F71FE"/>
    <w:rsid w:val="009F78AB"/>
    <w:rsid w:val="00A012E4"/>
    <w:rsid w:val="00A01A7C"/>
    <w:rsid w:val="00A024E2"/>
    <w:rsid w:val="00A02A96"/>
    <w:rsid w:val="00A02AE4"/>
    <w:rsid w:val="00A03237"/>
    <w:rsid w:val="00A03385"/>
    <w:rsid w:val="00A034D8"/>
    <w:rsid w:val="00A04E6A"/>
    <w:rsid w:val="00A07FDC"/>
    <w:rsid w:val="00A109A8"/>
    <w:rsid w:val="00A11269"/>
    <w:rsid w:val="00A11E7D"/>
    <w:rsid w:val="00A13F09"/>
    <w:rsid w:val="00A1715A"/>
    <w:rsid w:val="00A17604"/>
    <w:rsid w:val="00A17E8F"/>
    <w:rsid w:val="00A20B75"/>
    <w:rsid w:val="00A25529"/>
    <w:rsid w:val="00A25816"/>
    <w:rsid w:val="00A2648D"/>
    <w:rsid w:val="00A2653C"/>
    <w:rsid w:val="00A26D62"/>
    <w:rsid w:val="00A26DFF"/>
    <w:rsid w:val="00A27086"/>
    <w:rsid w:val="00A30933"/>
    <w:rsid w:val="00A3110B"/>
    <w:rsid w:val="00A337D8"/>
    <w:rsid w:val="00A351FB"/>
    <w:rsid w:val="00A353FD"/>
    <w:rsid w:val="00A36F00"/>
    <w:rsid w:val="00A375A3"/>
    <w:rsid w:val="00A37E5A"/>
    <w:rsid w:val="00A43A0C"/>
    <w:rsid w:val="00A440B0"/>
    <w:rsid w:val="00A44EB3"/>
    <w:rsid w:val="00A45592"/>
    <w:rsid w:val="00A45A18"/>
    <w:rsid w:val="00A45C99"/>
    <w:rsid w:val="00A46F8B"/>
    <w:rsid w:val="00A50DD8"/>
    <w:rsid w:val="00A549AF"/>
    <w:rsid w:val="00A568E7"/>
    <w:rsid w:val="00A57FCE"/>
    <w:rsid w:val="00A61CD5"/>
    <w:rsid w:val="00A629D9"/>
    <w:rsid w:val="00A64082"/>
    <w:rsid w:val="00A64121"/>
    <w:rsid w:val="00A64FE6"/>
    <w:rsid w:val="00A6595D"/>
    <w:rsid w:val="00A70659"/>
    <w:rsid w:val="00A70D7D"/>
    <w:rsid w:val="00A71271"/>
    <w:rsid w:val="00A737E8"/>
    <w:rsid w:val="00A74592"/>
    <w:rsid w:val="00A74A74"/>
    <w:rsid w:val="00A75F93"/>
    <w:rsid w:val="00A77970"/>
    <w:rsid w:val="00A779DF"/>
    <w:rsid w:val="00A80FA8"/>
    <w:rsid w:val="00A822E7"/>
    <w:rsid w:val="00A843B2"/>
    <w:rsid w:val="00A858AB"/>
    <w:rsid w:val="00A85CCB"/>
    <w:rsid w:val="00A85DBA"/>
    <w:rsid w:val="00A87F50"/>
    <w:rsid w:val="00A90086"/>
    <w:rsid w:val="00A9039F"/>
    <w:rsid w:val="00A91F25"/>
    <w:rsid w:val="00A92932"/>
    <w:rsid w:val="00A93EAC"/>
    <w:rsid w:val="00A9695F"/>
    <w:rsid w:val="00A96FB0"/>
    <w:rsid w:val="00A9767A"/>
    <w:rsid w:val="00AA015A"/>
    <w:rsid w:val="00AA0C26"/>
    <w:rsid w:val="00AA151B"/>
    <w:rsid w:val="00AA1770"/>
    <w:rsid w:val="00AA2639"/>
    <w:rsid w:val="00AA6E44"/>
    <w:rsid w:val="00AA6F6D"/>
    <w:rsid w:val="00AB011D"/>
    <w:rsid w:val="00AB1709"/>
    <w:rsid w:val="00AB17D5"/>
    <w:rsid w:val="00AB17D9"/>
    <w:rsid w:val="00AB18EF"/>
    <w:rsid w:val="00AB205C"/>
    <w:rsid w:val="00AB4B4E"/>
    <w:rsid w:val="00AB4BB3"/>
    <w:rsid w:val="00AB54D5"/>
    <w:rsid w:val="00AB5672"/>
    <w:rsid w:val="00AB5AF2"/>
    <w:rsid w:val="00AB6A78"/>
    <w:rsid w:val="00AC00AA"/>
    <w:rsid w:val="00AC4E2F"/>
    <w:rsid w:val="00AC55F5"/>
    <w:rsid w:val="00AC59D8"/>
    <w:rsid w:val="00AC7926"/>
    <w:rsid w:val="00AD02E5"/>
    <w:rsid w:val="00AD050A"/>
    <w:rsid w:val="00AD2005"/>
    <w:rsid w:val="00AD38CE"/>
    <w:rsid w:val="00AD3DFA"/>
    <w:rsid w:val="00AD542C"/>
    <w:rsid w:val="00AE190C"/>
    <w:rsid w:val="00AE21F0"/>
    <w:rsid w:val="00AE6F02"/>
    <w:rsid w:val="00AF01E4"/>
    <w:rsid w:val="00AF27F5"/>
    <w:rsid w:val="00AF2A1E"/>
    <w:rsid w:val="00AF3EE8"/>
    <w:rsid w:val="00AF3FC1"/>
    <w:rsid w:val="00AF5AA1"/>
    <w:rsid w:val="00AF79E4"/>
    <w:rsid w:val="00AF7EA2"/>
    <w:rsid w:val="00B00911"/>
    <w:rsid w:val="00B019E2"/>
    <w:rsid w:val="00B01AB2"/>
    <w:rsid w:val="00B03EF4"/>
    <w:rsid w:val="00B0497E"/>
    <w:rsid w:val="00B04DB7"/>
    <w:rsid w:val="00B055B8"/>
    <w:rsid w:val="00B102CB"/>
    <w:rsid w:val="00B1283E"/>
    <w:rsid w:val="00B135C3"/>
    <w:rsid w:val="00B13ED4"/>
    <w:rsid w:val="00B14655"/>
    <w:rsid w:val="00B15EC5"/>
    <w:rsid w:val="00B16A55"/>
    <w:rsid w:val="00B1749E"/>
    <w:rsid w:val="00B216E4"/>
    <w:rsid w:val="00B21942"/>
    <w:rsid w:val="00B24846"/>
    <w:rsid w:val="00B24A2B"/>
    <w:rsid w:val="00B256C9"/>
    <w:rsid w:val="00B268C9"/>
    <w:rsid w:val="00B26ECE"/>
    <w:rsid w:val="00B2736C"/>
    <w:rsid w:val="00B27630"/>
    <w:rsid w:val="00B27F1F"/>
    <w:rsid w:val="00B27F9E"/>
    <w:rsid w:val="00B31BD8"/>
    <w:rsid w:val="00B326D6"/>
    <w:rsid w:val="00B352F5"/>
    <w:rsid w:val="00B35917"/>
    <w:rsid w:val="00B35DF0"/>
    <w:rsid w:val="00B36D89"/>
    <w:rsid w:val="00B37113"/>
    <w:rsid w:val="00B4177D"/>
    <w:rsid w:val="00B43460"/>
    <w:rsid w:val="00B43819"/>
    <w:rsid w:val="00B44042"/>
    <w:rsid w:val="00B4568B"/>
    <w:rsid w:val="00B514CF"/>
    <w:rsid w:val="00B524E5"/>
    <w:rsid w:val="00B52653"/>
    <w:rsid w:val="00B52E86"/>
    <w:rsid w:val="00B55445"/>
    <w:rsid w:val="00B55CD8"/>
    <w:rsid w:val="00B56E07"/>
    <w:rsid w:val="00B577D3"/>
    <w:rsid w:val="00B57E02"/>
    <w:rsid w:val="00B60C0D"/>
    <w:rsid w:val="00B6222C"/>
    <w:rsid w:val="00B62A81"/>
    <w:rsid w:val="00B64AE0"/>
    <w:rsid w:val="00B65FE0"/>
    <w:rsid w:val="00B71DD0"/>
    <w:rsid w:val="00B72666"/>
    <w:rsid w:val="00B737E2"/>
    <w:rsid w:val="00B74C4F"/>
    <w:rsid w:val="00B755DF"/>
    <w:rsid w:val="00B75A8D"/>
    <w:rsid w:val="00B7690E"/>
    <w:rsid w:val="00B81728"/>
    <w:rsid w:val="00B82D93"/>
    <w:rsid w:val="00B83A16"/>
    <w:rsid w:val="00B845D4"/>
    <w:rsid w:val="00B85D7A"/>
    <w:rsid w:val="00B901E0"/>
    <w:rsid w:val="00B90414"/>
    <w:rsid w:val="00B90561"/>
    <w:rsid w:val="00B90867"/>
    <w:rsid w:val="00B908A0"/>
    <w:rsid w:val="00B92D5F"/>
    <w:rsid w:val="00B97EF3"/>
    <w:rsid w:val="00B97FF5"/>
    <w:rsid w:val="00BA0831"/>
    <w:rsid w:val="00BA6840"/>
    <w:rsid w:val="00BA7074"/>
    <w:rsid w:val="00BA7F36"/>
    <w:rsid w:val="00BB0B09"/>
    <w:rsid w:val="00BB0ECC"/>
    <w:rsid w:val="00BB17BA"/>
    <w:rsid w:val="00BB2E32"/>
    <w:rsid w:val="00BB4906"/>
    <w:rsid w:val="00BB4AB3"/>
    <w:rsid w:val="00BB4E5A"/>
    <w:rsid w:val="00BB5097"/>
    <w:rsid w:val="00BB5EF1"/>
    <w:rsid w:val="00BB61A0"/>
    <w:rsid w:val="00BB667B"/>
    <w:rsid w:val="00BB6968"/>
    <w:rsid w:val="00BB6D2E"/>
    <w:rsid w:val="00BC1E30"/>
    <w:rsid w:val="00BC51B0"/>
    <w:rsid w:val="00BC63B8"/>
    <w:rsid w:val="00BC7F41"/>
    <w:rsid w:val="00BD06A8"/>
    <w:rsid w:val="00BD4165"/>
    <w:rsid w:val="00BD60E6"/>
    <w:rsid w:val="00BE1688"/>
    <w:rsid w:val="00BE3083"/>
    <w:rsid w:val="00BE4B98"/>
    <w:rsid w:val="00BE5B9C"/>
    <w:rsid w:val="00BE631E"/>
    <w:rsid w:val="00BF3209"/>
    <w:rsid w:val="00BF34B2"/>
    <w:rsid w:val="00BF5397"/>
    <w:rsid w:val="00C011EE"/>
    <w:rsid w:val="00C02585"/>
    <w:rsid w:val="00C0310A"/>
    <w:rsid w:val="00C0326C"/>
    <w:rsid w:val="00C0330B"/>
    <w:rsid w:val="00C0469A"/>
    <w:rsid w:val="00C10A22"/>
    <w:rsid w:val="00C10B43"/>
    <w:rsid w:val="00C1241F"/>
    <w:rsid w:val="00C1243E"/>
    <w:rsid w:val="00C1290E"/>
    <w:rsid w:val="00C12A2E"/>
    <w:rsid w:val="00C147D2"/>
    <w:rsid w:val="00C170C2"/>
    <w:rsid w:val="00C223B8"/>
    <w:rsid w:val="00C244B6"/>
    <w:rsid w:val="00C24CF0"/>
    <w:rsid w:val="00C254DB"/>
    <w:rsid w:val="00C26171"/>
    <w:rsid w:val="00C3134F"/>
    <w:rsid w:val="00C33C40"/>
    <w:rsid w:val="00C35CA1"/>
    <w:rsid w:val="00C36CA7"/>
    <w:rsid w:val="00C378C7"/>
    <w:rsid w:val="00C420FC"/>
    <w:rsid w:val="00C428DF"/>
    <w:rsid w:val="00C42FB5"/>
    <w:rsid w:val="00C441C4"/>
    <w:rsid w:val="00C4473C"/>
    <w:rsid w:val="00C456B0"/>
    <w:rsid w:val="00C46EC1"/>
    <w:rsid w:val="00C5104F"/>
    <w:rsid w:val="00C512ED"/>
    <w:rsid w:val="00C53E23"/>
    <w:rsid w:val="00C54C75"/>
    <w:rsid w:val="00C54C8B"/>
    <w:rsid w:val="00C5542E"/>
    <w:rsid w:val="00C557CF"/>
    <w:rsid w:val="00C55B75"/>
    <w:rsid w:val="00C575E2"/>
    <w:rsid w:val="00C57B6C"/>
    <w:rsid w:val="00C631F6"/>
    <w:rsid w:val="00C63C7E"/>
    <w:rsid w:val="00C65B39"/>
    <w:rsid w:val="00C65B9B"/>
    <w:rsid w:val="00C6640B"/>
    <w:rsid w:val="00C66625"/>
    <w:rsid w:val="00C67086"/>
    <w:rsid w:val="00C670D6"/>
    <w:rsid w:val="00C71534"/>
    <w:rsid w:val="00C7179F"/>
    <w:rsid w:val="00C7454A"/>
    <w:rsid w:val="00C75067"/>
    <w:rsid w:val="00C7721A"/>
    <w:rsid w:val="00C776F6"/>
    <w:rsid w:val="00C83AF6"/>
    <w:rsid w:val="00C844E9"/>
    <w:rsid w:val="00C86234"/>
    <w:rsid w:val="00C8736C"/>
    <w:rsid w:val="00C87D4C"/>
    <w:rsid w:val="00C90D68"/>
    <w:rsid w:val="00C919B0"/>
    <w:rsid w:val="00C91C83"/>
    <w:rsid w:val="00C91CFB"/>
    <w:rsid w:val="00C92194"/>
    <w:rsid w:val="00C926A9"/>
    <w:rsid w:val="00C937B0"/>
    <w:rsid w:val="00C946DF"/>
    <w:rsid w:val="00C95572"/>
    <w:rsid w:val="00CA42C4"/>
    <w:rsid w:val="00CA5374"/>
    <w:rsid w:val="00CA53BB"/>
    <w:rsid w:val="00CA79F4"/>
    <w:rsid w:val="00CB1EDC"/>
    <w:rsid w:val="00CB2464"/>
    <w:rsid w:val="00CB4A4F"/>
    <w:rsid w:val="00CB4AC9"/>
    <w:rsid w:val="00CB5BE2"/>
    <w:rsid w:val="00CB63AC"/>
    <w:rsid w:val="00CB678F"/>
    <w:rsid w:val="00CB72E7"/>
    <w:rsid w:val="00CB7582"/>
    <w:rsid w:val="00CC0065"/>
    <w:rsid w:val="00CC00C4"/>
    <w:rsid w:val="00CC075B"/>
    <w:rsid w:val="00CC12E9"/>
    <w:rsid w:val="00CC146F"/>
    <w:rsid w:val="00CC67B4"/>
    <w:rsid w:val="00CC6C3D"/>
    <w:rsid w:val="00CD1D53"/>
    <w:rsid w:val="00CD1F35"/>
    <w:rsid w:val="00CD3C95"/>
    <w:rsid w:val="00CD3D7A"/>
    <w:rsid w:val="00CD79F1"/>
    <w:rsid w:val="00CE25BD"/>
    <w:rsid w:val="00CE2E88"/>
    <w:rsid w:val="00CE2EE3"/>
    <w:rsid w:val="00CE55D5"/>
    <w:rsid w:val="00CE68C9"/>
    <w:rsid w:val="00CE7ACF"/>
    <w:rsid w:val="00CF0974"/>
    <w:rsid w:val="00CF1E10"/>
    <w:rsid w:val="00CF2386"/>
    <w:rsid w:val="00CF375B"/>
    <w:rsid w:val="00CF4222"/>
    <w:rsid w:val="00CF4547"/>
    <w:rsid w:val="00CF4610"/>
    <w:rsid w:val="00CF4FB3"/>
    <w:rsid w:val="00CF5239"/>
    <w:rsid w:val="00CF555E"/>
    <w:rsid w:val="00CF6894"/>
    <w:rsid w:val="00CF6E18"/>
    <w:rsid w:val="00CF793B"/>
    <w:rsid w:val="00D04B48"/>
    <w:rsid w:val="00D04F0B"/>
    <w:rsid w:val="00D051FE"/>
    <w:rsid w:val="00D068C8"/>
    <w:rsid w:val="00D07205"/>
    <w:rsid w:val="00D10836"/>
    <w:rsid w:val="00D10B0C"/>
    <w:rsid w:val="00D11059"/>
    <w:rsid w:val="00D12C32"/>
    <w:rsid w:val="00D1304E"/>
    <w:rsid w:val="00D13CD5"/>
    <w:rsid w:val="00D13E1D"/>
    <w:rsid w:val="00D15790"/>
    <w:rsid w:val="00D15942"/>
    <w:rsid w:val="00D15A5E"/>
    <w:rsid w:val="00D15F7D"/>
    <w:rsid w:val="00D162EE"/>
    <w:rsid w:val="00D165A5"/>
    <w:rsid w:val="00D1790E"/>
    <w:rsid w:val="00D212C0"/>
    <w:rsid w:val="00D24D61"/>
    <w:rsid w:val="00D24EBA"/>
    <w:rsid w:val="00D2536A"/>
    <w:rsid w:val="00D309B2"/>
    <w:rsid w:val="00D37B91"/>
    <w:rsid w:val="00D409E4"/>
    <w:rsid w:val="00D40B5B"/>
    <w:rsid w:val="00D43085"/>
    <w:rsid w:val="00D460C7"/>
    <w:rsid w:val="00D4637D"/>
    <w:rsid w:val="00D46553"/>
    <w:rsid w:val="00D51355"/>
    <w:rsid w:val="00D51D5F"/>
    <w:rsid w:val="00D5247D"/>
    <w:rsid w:val="00D5499D"/>
    <w:rsid w:val="00D54B1F"/>
    <w:rsid w:val="00D56302"/>
    <w:rsid w:val="00D56CDA"/>
    <w:rsid w:val="00D5736E"/>
    <w:rsid w:val="00D60AFA"/>
    <w:rsid w:val="00D619E0"/>
    <w:rsid w:val="00D61F73"/>
    <w:rsid w:val="00D642EA"/>
    <w:rsid w:val="00D6535C"/>
    <w:rsid w:val="00D65390"/>
    <w:rsid w:val="00D65A57"/>
    <w:rsid w:val="00D67AB8"/>
    <w:rsid w:val="00D77A06"/>
    <w:rsid w:val="00D814C3"/>
    <w:rsid w:val="00D87541"/>
    <w:rsid w:val="00D875F2"/>
    <w:rsid w:val="00D90E3B"/>
    <w:rsid w:val="00D91426"/>
    <w:rsid w:val="00D9239B"/>
    <w:rsid w:val="00D93A36"/>
    <w:rsid w:val="00D94507"/>
    <w:rsid w:val="00D95DEC"/>
    <w:rsid w:val="00DA1662"/>
    <w:rsid w:val="00DB1243"/>
    <w:rsid w:val="00DB2A99"/>
    <w:rsid w:val="00DB2C14"/>
    <w:rsid w:val="00DB4078"/>
    <w:rsid w:val="00DB5208"/>
    <w:rsid w:val="00DB56F1"/>
    <w:rsid w:val="00DB742B"/>
    <w:rsid w:val="00DB74F7"/>
    <w:rsid w:val="00DB7905"/>
    <w:rsid w:val="00DC122B"/>
    <w:rsid w:val="00DC384C"/>
    <w:rsid w:val="00DC7663"/>
    <w:rsid w:val="00DD1B14"/>
    <w:rsid w:val="00DD1DE5"/>
    <w:rsid w:val="00DD2FDF"/>
    <w:rsid w:val="00DD3248"/>
    <w:rsid w:val="00DD3D0A"/>
    <w:rsid w:val="00DD4216"/>
    <w:rsid w:val="00DE0E66"/>
    <w:rsid w:val="00DE12A9"/>
    <w:rsid w:val="00DE2D53"/>
    <w:rsid w:val="00DE3B86"/>
    <w:rsid w:val="00DE4C04"/>
    <w:rsid w:val="00DE5FA2"/>
    <w:rsid w:val="00DE6F46"/>
    <w:rsid w:val="00DF0497"/>
    <w:rsid w:val="00DF1B13"/>
    <w:rsid w:val="00E01100"/>
    <w:rsid w:val="00E03F8F"/>
    <w:rsid w:val="00E043CE"/>
    <w:rsid w:val="00E13250"/>
    <w:rsid w:val="00E14AD5"/>
    <w:rsid w:val="00E16077"/>
    <w:rsid w:val="00E162F8"/>
    <w:rsid w:val="00E1683F"/>
    <w:rsid w:val="00E173A2"/>
    <w:rsid w:val="00E175A1"/>
    <w:rsid w:val="00E20441"/>
    <w:rsid w:val="00E22540"/>
    <w:rsid w:val="00E2315C"/>
    <w:rsid w:val="00E2363A"/>
    <w:rsid w:val="00E24071"/>
    <w:rsid w:val="00E25976"/>
    <w:rsid w:val="00E27417"/>
    <w:rsid w:val="00E27F71"/>
    <w:rsid w:val="00E3049C"/>
    <w:rsid w:val="00E3184B"/>
    <w:rsid w:val="00E31BD0"/>
    <w:rsid w:val="00E34563"/>
    <w:rsid w:val="00E36BE0"/>
    <w:rsid w:val="00E36C97"/>
    <w:rsid w:val="00E40488"/>
    <w:rsid w:val="00E414BE"/>
    <w:rsid w:val="00E42AB2"/>
    <w:rsid w:val="00E42B85"/>
    <w:rsid w:val="00E445F9"/>
    <w:rsid w:val="00E45945"/>
    <w:rsid w:val="00E46B42"/>
    <w:rsid w:val="00E475F6"/>
    <w:rsid w:val="00E478B9"/>
    <w:rsid w:val="00E52622"/>
    <w:rsid w:val="00E53265"/>
    <w:rsid w:val="00E5339F"/>
    <w:rsid w:val="00E543B7"/>
    <w:rsid w:val="00E544D8"/>
    <w:rsid w:val="00E572FF"/>
    <w:rsid w:val="00E57B10"/>
    <w:rsid w:val="00E611A7"/>
    <w:rsid w:val="00E621FF"/>
    <w:rsid w:val="00E626B4"/>
    <w:rsid w:val="00E62E9B"/>
    <w:rsid w:val="00E63B55"/>
    <w:rsid w:val="00E64992"/>
    <w:rsid w:val="00E65E00"/>
    <w:rsid w:val="00E67178"/>
    <w:rsid w:val="00E708F1"/>
    <w:rsid w:val="00E7347F"/>
    <w:rsid w:val="00E739C2"/>
    <w:rsid w:val="00E746EE"/>
    <w:rsid w:val="00E7730C"/>
    <w:rsid w:val="00E828AC"/>
    <w:rsid w:val="00E835C0"/>
    <w:rsid w:val="00E848D5"/>
    <w:rsid w:val="00E84DAA"/>
    <w:rsid w:val="00E86571"/>
    <w:rsid w:val="00E86D1A"/>
    <w:rsid w:val="00E872C1"/>
    <w:rsid w:val="00E91562"/>
    <w:rsid w:val="00E93C30"/>
    <w:rsid w:val="00E9471D"/>
    <w:rsid w:val="00E96B41"/>
    <w:rsid w:val="00E97B41"/>
    <w:rsid w:val="00EA0399"/>
    <w:rsid w:val="00EA1B09"/>
    <w:rsid w:val="00EA2663"/>
    <w:rsid w:val="00EA359E"/>
    <w:rsid w:val="00EA47F9"/>
    <w:rsid w:val="00EB1906"/>
    <w:rsid w:val="00EB59DE"/>
    <w:rsid w:val="00EC034F"/>
    <w:rsid w:val="00EC1203"/>
    <w:rsid w:val="00EC150E"/>
    <w:rsid w:val="00EC44B7"/>
    <w:rsid w:val="00EC4B17"/>
    <w:rsid w:val="00EC780B"/>
    <w:rsid w:val="00ED1A0C"/>
    <w:rsid w:val="00ED2381"/>
    <w:rsid w:val="00ED29F0"/>
    <w:rsid w:val="00ED2C89"/>
    <w:rsid w:val="00ED33AB"/>
    <w:rsid w:val="00ED35B1"/>
    <w:rsid w:val="00ED3E02"/>
    <w:rsid w:val="00ED6568"/>
    <w:rsid w:val="00EE093D"/>
    <w:rsid w:val="00EE0B2C"/>
    <w:rsid w:val="00EE15CF"/>
    <w:rsid w:val="00EE23A6"/>
    <w:rsid w:val="00EE34F1"/>
    <w:rsid w:val="00EE68A7"/>
    <w:rsid w:val="00EE6D00"/>
    <w:rsid w:val="00EE7D22"/>
    <w:rsid w:val="00EF06AD"/>
    <w:rsid w:val="00EF06D8"/>
    <w:rsid w:val="00EF1EE5"/>
    <w:rsid w:val="00EF437B"/>
    <w:rsid w:val="00EF47D7"/>
    <w:rsid w:val="00EF53B3"/>
    <w:rsid w:val="00EF571F"/>
    <w:rsid w:val="00EF5B38"/>
    <w:rsid w:val="00EF5D59"/>
    <w:rsid w:val="00EF61C1"/>
    <w:rsid w:val="00EF661E"/>
    <w:rsid w:val="00F0060E"/>
    <w:rsid w:val="00F0514C"/>
    <w:rsid w:val="00F0515C"/>
    <w:rsid w:val="00F054FD"/>
    <w:rsid w:val="00F073E7"/>
    <w:rsid w:val="00F100AD"/>
    <w:rsid w:val="00F10683"/>
    <w:rsid w:val="00F1173A"/>
    <w:rsid w:val="00F121F9"/>
    <w:rsid w:val="00F122E4"/>
    <w:rsid w:val="00F17392"/>
    <w:rsid w:val="00F176F6"/>
    <w:rsid w:val="00F242D6"/>
    <w:rsid w:val="00F2675C"/>
    <w:rsid w:val="00F26D9E"/>
    <w:rsid w:val="00F27ABF"/>
    <w:rsid w:val="00F31AE8"/>
    <w:rsid w:val="00F3340D"/>
    <w:rsid w:val="00F3535D"/>
    <w:rsid w:val="00F35669"/>
    <w:rsid w:val="00F379A5"/>
    <w:rsid w:val="00F40003"/>
    <w:rsid w:val="00F416EF"/>
    <w:rsid w:val="00F44F77"/>
    <w:rsid w:val="00F45C0D"/>
    <w:rsid w:val="00F45C5A"/>
    <w:rsid w:val="00F46514"/>
    <w:rsid w:val="00F467D5"/>
    <w:rsid w:val="00F471A1"/>
    <w:rsid w:val="00F51292"/>
    <w:rsid w:val="00F5273F"/>
    <w:rsid w:val="00F52DD3"/>
    <w:rsid w:val="00F5348F"/>
    <w:rsid w:val="00F53630"/>
    <w:rsid w:val="00F54A4F"/>
    <w:rsid w:val="00F55836"/>
    <w:rsid w:val="00F5772C"/>
    <w:rsid w:val="00F606D4"/>
    <w:rsid w:val="00F6074B"/>
    <w:rsid w:val="00F60DE3"/>
    <w:rsid w:val="00F61AE3"/>
    <w:rsid w:val="00F62246"/>
    <w:rsid w:val="00F6353F"/>
    <w:rsid w:val="00F647B4"/>
    <w:rsid w:val="00F67300"/>
    <w:rsid w:val="00F70325"/>
    <w:rsid w:val="00F723F9"/>
    <w:rsid w:val="00F7538D"/>
    <w:rsid w:val="00F775DE"/>
    <w:rsid w:val="00F777DF"/>
    <w:rsid w:val="00F823FA"/>
    <w:rsid w:val="00F82D60"/>
    <w:rsid w:val="00F831B9"/>
    <w:rsid w:val="00F83336"/>
    <w:rsid w:val="00F85E1E"/>
    <w:rsid w:val="00F87154"/>
    <w:rsid w:val="00F91E3A"/>
    <w:rsid w:val="00F91FD6"/>
    <w:rsid w:val="00F9321D"/>
    <w:rsid w:val="00F95A53"/>
    <w:rsid w:val="00F96330"/>
    <w:rsid w:val="00F96CF7"/>
    <w:rsid w:val="00F96FCB"/>
    <w:rsid w:val="00FA0E74"/>
    <w:rsid w:val="00FA136B"/>
    <w:rsid w:val="00FA1F6D"/>
    <w:rsid w:val="00FA2E4B"/>
    <w:rsid w:val="00FA304A"/>
    <w:rsid w:val="00FA3307"/>
    <w:rsid w:val="00FA412E"/>
    <w:rsid w:val="00FA487A"/>
    <w:rsid w:val="00FA4E0C"/>
    <w:rsid w:val="00FA5433"/>
    <w:rsid w:val="00FB0B16"/>
    <w:rsid w:val="00FB2680"/>
    <w:rsid w:val="00FB359C"/>
    <w:rsid w:val="00FB5154"/>
    <w:rsid w:val="00FB5899"/>
    <w:rsid w:val="00FB5D20"/>
    <w:rsid w:val="00FC135F"/>
    <w:rsid w:val="00FC1C30"/>
    <w:rsid w:val="00FC374B"/>
    <w:rsid w:val="00FC3EBC"/>
    <w:rsid w:val="00FC4DF0"/>
    <w:rsid w:val="00FC5DB2"/>
    <w:rsid w:val="00FD0550"/>
    <w:rsid w:val="00FD09E4"/>
    <w:rsid w:val="00FD15BD"/>
    <w:rsid w:val="00FD2630"/>
    <w:rsid w:val="00FD5065"/>
    <w:rsid w:val="00FD6541"/>
    <w:rsid w:val="00FD7F88"/>
    <w:rsid w:val="00FE5449"/>
    <w:rsid w:val="00FF096F"/>
    <w:rsid w:val="00FF2EDF"/>
    <w:rsid w:val="00FF30A7"/>
    <w:rsid w:val="00FF61A4"/>
    <w:rsid w:val="00FF7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D98F8"/>
  <w15:docId w15:val="{DB64C214-625A-4C01-AA86-5FBBFB01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1561"/>
    <w:rPr>
      <w:rFonts w:ascii="Arial" w:hAnsi="Arial"/>
      <w:lang w:eastAsia="de-DE"/>
    </w:rPr>
  </w:style>
  <w:style w:type="paragraph" w:styleId="berschrift1">
    <w:name w:val="heading 1"/>
    <w:basedOn w:val="Standard"/>
    <w:next w:val="Standard"/>
    <w:qFormat/>
    <w:rsid w:val="003B1561"/>
    <w:pPr>
      <w:keepNext/>
      <w:numPr>
        <w:numId w:val="1"/>
      </w:numPr>
      <w:spacing w:after="120" w:line="23" w:lineRule="atLeast"/>
      <w:ind w:left="431" w:hanging="431"/>
      <w:outlineLvl w:val="0"/>
    </w:pPr>
    <w:rPr>
      <w:b/>
      <w:caps/>
      <w:color w:val="EF7D04"/>
      <w:kern w:val="28"/>
    </w:rPr>
  </w:style>
  <w:style w:type="paragraph" w:styleId="berschrift2">
    <w:name w:val="heading 2"/>
    <w:basedOn w:val="berschrift1"/>
    <w:next w:val="Standard"/>
    <w:qFormat/>
    <w:rsid w:val="00BB6D2E"/>
    <w:pPr>
      <w:numPr>
        <w:ilvl w:val="1"/>
      </w:numPr>
      <w:tabs>
        <w:tab w:val="num" w:pos="576"/>
      </w:tabs>
      <w:ind w:left="576"/>
      <w:outlineLvl w:val="1"/>
    </w:pPr>
    <w:rPr>
      <w:caps w:val="0"/>
      <w:color w:val="000000" w:themeColor="text1"/>
    </w:rPr>
  </w:style>
  <w:style w:type="paragraph" w:styleId="berschrift3">
    <w:name w:val="heading 3"/>
    <w:basedOn w:val="berschrift2"/>
    <w:next w:val="Standard"/>
    <w:qFormat/>
    <w:rsid w:val="00B44042"/>
    <w:pPr>
      <w:numPr>
        <w:ilvl w:val="2"/>
      </w:numPr>
      <w:spacing w:before="240"/>
      <w:outlineLvl w:val="2"/>
    </w:pPr>
    <w:rPr>
      <w:b w:val="0"/>
    </w:rPr>
  </w:style>
  <w:style w:type="paragraph" w:styleId="berschrift4">
    <w:name w:val="heading 4"/>
    <w:basedOn w:val="Standard"/>
    <w:next w:val="Standard"/>
    <w:autoRedefine/>
    <w:qFormat/>
    <w:rsid w:val="00B44042"/>
    <w:pPr>
      <w:keepNext/>
      <w:numPr>
        <w:ilvl w:val="3"/>
        <w:numId w:val="1"/>
      </w:numPr>
      <w:spacing w:before="240" w:after="60"/>
      <w:outlineLvl w:val="3"/>
    </w:pPr>
  </w:style>
  <w:style w:type="paragraph" w:styleId="berschrift5">
    <w:name w:val="heading 5"/>
    <w:basedOn w:val="Standard"/>
    <w:next w:val="Standard"/>
    <w:rsid w:val="00B44042"/>
    <w:pPr>
      <w:numPr>
        <w:ilvl w:val="4"/>
        <w:numId w:val="1"/>
      </w:numPr>
      <w:spacing w:before="240" w:after="60"/>
      <w:outlineLvl w:val="4"/>
    </w:pPr>
  </w:style>
  <w:style w:type="paragraph" w:styleId="berschrift6">
    <w:name w:val="heading 6"/>
    <w:basedOn w:val="Standard"/>
    <w:next w:val="Standard"/>
    <w:rsid w:val="00B44042"/>
    <w:pPr>
      <w:numPr>
        <w:ilvl w:val="5"/>
        <w:numId w:val="1"/>
      </w:numPr>
      <w:spacing w:before="240" w:after="60"/>
      <w:outlineLvl w:val="5"/>
    </w:pPr>
  </w:style>
  <w:style w:type="paragraph" w:styleId="berschrift7">
    <w:name w:val="heading 7"/>
    <w:basedOn w:val="Standard"/>
    <w:next w:val="Standard"/>
    <w:rsid w:val="00B44042"/>
    <w:pPr>
      <w:numPr>
        <w:ilvl w:val="6"/>
        <w:numId w:val="1"/>
      </w:numPr>
      <w:spacing w:before="240" w:after="60"/>
      <w:outlineLvl w:val="6"/>
    </w:pPr>
  </w:style>
  <w:style w:type="paragraph" w:styleId="berschrift8">
    <w:name w:val="heading 8"/>
    <w:basedOn w:val="Standard"/>
    <w:next w:val="Standard"/>
    <w:rsid w:val="00B44042"/>
    <w:pPr>
      <w:numPr>
        <w:ilvl w:val="7"/>
        <w:numId w:val="1"/>
      </w:numPr>
      <w:spacing w:before="240" w:after="60"/>
      <w:outlineLvl w:val="7"/>
    </w:pPr>
  </w:style>
  <w:style w:type="paragraph" w:styleId="berschrift9">
    <w:name w:val="heading 9"/>
    <w:basedOn w:val="Standard"/>
    <w:next w:val="Standard"/>
    <w:rsid w:val="00B44042"/>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44042"/>
    <w:pPr>
      <w:tabs>
        <w:tab w:val="center" w:pos="4536"/>
        <w:tab w:val="right" w:pos="9072"/>
      </w:tabs>
    </w:pPr>
  </w:style>
  <w:style w:type="paragraph" w:styleId="Abbildungsverzeichnis">
    <w:name w:val="table of figures"/>
    <w:basedOn w:val="Standard"/>
    <w:next w:val="Standard"/>
    <w:semiHidden/>
    <w:rsid w:val="00B44042"/>
    <w:pPr>
      <w:ind w:left="400" w:hanging="400"/>
    </w:pPr>
  </w:style>
  <w:style w:type="paragraph" w:styleId="Fuzeile">
    <w:name w:val="footer"/>
    <w:basedOn w:val="Standard"/>
    <w:rsid w:val="00B44042"/>
    <w:pPr>
      <w:tabs>
        <w:tab w:val="center" w:pos="4536"/>
        <w:tab w:val="right" w:pos="9072"/>
      </w:tabs>
    </w:pPr>
  </w:style>
  <w:style w:type="paragraph" w:styleId="Verzeichnis1">
    <w:name w:val="toc 1"/>
    <w:basedOn w:val="Standard"/>
    <w:next w:val="Standard"/>
    <w:uiPriority w:val="39"/>
    <w:rsid w:val="00B44042"/>
    <w:pPr>
      <w:spacing w:before="120" w:after="120"/>
    </w:pPr>
    <w:rPr>
      <w:rFonts w:ascii="Times New Roman" w:hAnsi="Times New Roman"/>
      <w:b/>
      <w:caps/>
      <w:lang w:val="de-DE"/>
    </w:rPr>
  </w:style>
  <w:style w:type="character" w:styleId="Hyperlink">
    <w:name w:val="Hyperlink"/>
    <w:uiPriority w:val="99"/>
    <w:rsid w:val="00B44042"/>
    <w:rPr>
      <w:color w:val="0000FF"/>
      <w:u w:val="single"/>
    </w:rPr>
  </w:style>
  <w:style w:type="character" w:styleId="Funotenzeichen">
    <w:name w:val="footnote reference"/>
    <w:uiPriority w:val="99"/>
    <w:rsid w:val="00B44042"/>
    <w:rPr>
      <w:vertAlign w:val="superscript"/>
    </w:rPr>
  </w:style>
  <w:style w:type="paragraph" w:styleId="Funotentext">
    <w:name w:val="footnote text"/>
    <w:basedOn w:val="Standard"/>
    <w:link w:val="FunotentextZchn"/>
    <w:uiPriority w:val="99"/>
    <w:rsid w:val="00F55836"/>
    <w:pPr>
      <w:jc w:val="both"/>
    </w:pPr>
    <w:rPr>
      <w:sz w:val="16"/>
      <w:lang w:val="en-US"/>
    </w:rPr>
  </w:style>
  <w:style w:type="paragraph" w:customStyle="1" w:styleId="Betrifft">
    <w:name w:val="Betrifft"/>
    <w:basedOn w:val="Standard"/>
    <w:next w:val="Standard"/>
    <w:rsid w:val="00B44042"/>
    <w:pPr>
      <w:pBdr>
        <w:bottom w:val="single" w:sz="4" w:space="1" w:color="auto"/>
      </w:pBdr>
    </w:pPr>
    <w:rPr>
      <w:rFonts w:ascii="Helvetica (PCL6)" w:hAnsi="Helvetica (PCL6)"/>
      <w:b/>
      <w:smallCaps/>
    </w:rPr>
  </w:style>
  <w:style w:type="character" w:styleId="Fett">
    <w:name w:val="Strong"/>
    <w:uiPriority w:val="22"/>
    <w:rsid w:val="00B44042"/>
    <w:rPr>
      <w:b/>
      <w:bCs/>
    </w:rPr>
  </w:style>
  <w:style w:type="paragraph" w:styleId="Kommentartext">
    <w:name w:val="annotation text"/>
    <w:basedOn w:val="Standard"/>
    <w:link w:val="KommentartextZchn"/>
    <w:uiPriority w:val="99"/>
    <w:semiHidden/>
    <w:rsid w:val="00B44042"/>
    <w:rPr>
      <w:rFonts w:ascii="Times New Roman" w:hAnsi="Times New Roman"/>
      <w:lang w:val="de-DE"/>
    </w:rPr>
  </w:style>
  <w:style w:type="paragraph" w:styleId="Indexberschrift">
    <w:name w:val="index heading"/>
    <w:basedOn w:val="Standard"/>
    <w:next w:val="Index1"/>
    <w:semiHidden/>
    <w:rsid w:val="00B44042"/>
    <w:rPr>
      <w:b/>
      <w:sz w:val="24"/>
      <w:lang w:val="de-DE"/>
    </w:rPr>
  </w:style>
  <w:style w:type="paragraph" w:styleId="Index1">
    <w:name w:val="index 1"/>
    <w:basedOn w:val="Standard"/>
    <w:next w:val="Standard"/>
    <w:autoRedefine/>
    <w:semiHidden/>
    <w:rsid w:val="00B44042"/>
    <w:pPr>
      <w:ind w:left="200" w:hanging="200"/>
    </w:pPr>
  </w:style>
  <w:style w:type="paragraph" w:styleId="Textkrper2">
    <w:name w:val="Body Text 2"/>
    <w:basedOn w:val="Standard"/>
    <w:rsid w:val="00B44042"/>
    <w:pPr>
      <w:ind w:left="283"/>
    </w:pPr>
    <w:rPr>
      <w:rFonts w:ascii="Times New Roman" w:hAnsi="Times New Roman"/>
      <w:sz w:val="24"/>
      <w:lang w:val="de-DE"/>
    </w:rPr>
  </w:style>
  <w:style w:type="paragraph" w:styleId="NurText">
    <w:name w:val="Plain Text"/>
    <w:basedOn w:val="Standard"/>
    <w:rsid w:val="00B44042"/>
    <w:rPr>
      <w:rFonts w:ascii="Courier New" w:hAnsi="Courier New"/>
      <w:lang w:val="de-DE"/>
    </w:rPr>
  </w:style>
  <w:style w:type="paragraph" w:styleId="Listenfortsetzung">
    <w:name w:val="List Continue"/>
    <w:basedOn w:val="Standard"/>
    <w:rsid w:val="00B44042"/>
    <w:pPr>
      <w:spacing w:after="120"/>
      <w:ind w:left="283"/>
    </w:pPr>
    <w:rPr>
      <w:rFonts w:ascii="Times New Roman" w:hAnsi="Times New Roman"/>
      <w:sz w:val="24"/>
      <w:lang w:val="de-DE"/>
    </w:rPr>
  </w:style>
  <w:style w:type="character" w:styleId="Seitenzahl">
    <w:name w:val="page number"/>
    <w:basedOn w:val="Absatz-Standardschriftart"/>
    <w:rsid w:val="00B44042"/>
  </w:style>
  <w:style w:type="paragraph" w:styleId="Titel">
    <w:name w:val="Title"/>
    <w:basedOn w:val="Standard"/>
    <w:qFormat/>
    <w:rsid w:val="00B44042"/>
    <w:pPr>
      <w:pBdr>
        <w:top w:val="single" w:sz="6" w:space="1" w:color="auto"/>
        <w:left w:val="single" w:sz="6" w:space="1" w:color="auto"/>
        <w:bottom w:val="single" w:sz="6" w:space="1" w:color="auto"/>
        <w:right w:val="single" w:sz="6" w:space="17" w:color="auto"/>
      </w:pBdr>
      <w:ind w:left="-142" w:right="-114"/>
      <w:jc w:val="center"/>
      <w:outlineLvl w:val="0"/>
    </w:pPr>
    <w:rPr>
      <w:rFonts w:cs="Arial"/>
      <w:b/>
      <w:sz w:val="52"/>
    </w:rPr>
  </w:style>
  <w:style w:type="paragraph" w:styleId="StandardWeb">
    <w:name w:val="Normal (Web)"/>
    <w:basedOn w:val="Standard"/>
    <w:uiPriority w:val="99"/>
    <w:rsid w:val="00B44042"/>
    <w:pPr>
      <w:spacing w:before="100" w:beforeAutospacing="1" w:after="100" w:afterAutospacing="1"/>
    </w:pPr>
    <w:rPr>
      <w:rFonts w:ascii="Verdana" w:hAnsi="Verdana"/>
      <w:color w:val="000064"/>
      <w:sz w:val="24"/>
      <w:szCs w:val="24"/>
    </w:rPr>
  </w:style>
  <w:style w:type="paragraph" w:styleId="Aufzhlungszeichen">
    <w:name w:val="List Bullet"/>
    <w:aliases w:val="Aufzählungszeichen Klifo"/>
    <w:basedOn w:val="Standard"/>
    <w:autoRedefine/>
    <w:rsid w:val="00560995"/>
    <w:pPr>
      <w:keepNext/>
      <w:widowControl w:val="0"/>
      <w:tabs>
        <w:tab w:val="num" w:pos="737"/>
      </w:tabs>
      <w:spacing w:after="120"/>
      <w:ind w:left="737" w:hanging="397"/>
      <w:jc w:val="both"/>
    </w:pPr>
    <w:rPr>
      <w:sz w:val="22"/>
      <w:lang w:val="de-DE"/>
    </w:rPr>
  </w:style>
  <w:style w:type="paragraph" w:styleId="Aufzhlungszeichen2">
    <w:name w:val="List Bullet 2"/>
    <w:basedOn w:val="Standard"/>
    <w:autoRedefine/>
    <w:rsid w:val="00B44042"/>
    <w:pPr>
      <w:tabs>
        <w:tab w:val="left" w:pos="737"/>
      </w:tabs>
      <w:spacing w:after="120"/>
      <w:ind w:left="737" w:hanging="397"/>
      <w:jc w:val="both"/>
    </w:pPr>
    <w:rPr>
      <w:b/>
      <w:sz w:val="22"/>
      <w:lang w:val="de-DE"/>
    </w:rPr>
  </w:style>
  <w:style w:type="paragraph" w:styleId="Aufzhlungszeichen3">
    <w:name w:val="List Bullet 3"/>
    <w:basedOn w:val="Standard"/>
    <w:autoRedefine/>
    <w:rsid w:val="00B44042"/>
    <w:pPr>
      <w:tabs>
        <w:tab w:val="left" w:pos="1021"/>
      </w:tabs>
      <w:ind w:left="1021" w:hanging="284"/>
      <w:jc w:val="both"/>
    </w:pPr>
    <w:rPr>
      <w:sz w:val="22"/>
      <w:lang w:val="de-DE"/>
    </w:rPr>
  </w:style>
  <w:style w:type="character" w:customStyle="1" w:styleId="black">
    <w:name w:val="black"/>
    <w:basedOn w:val="Absatz-Standardschriftart"/>
    <w:rsid w:val="00B44042"/>
  </w:style>
  <w:style w:type="character" w:customStyle="1" w:styleId="berschrift1Zchn">
    <w:name w:val="Überschrift 1 Zchn"/>
    <w:rsid w:val="00B44042"/>
    <w:rPr>
      <w:rFonts w:ascii="Arial" w:hAnsi="Arial"/>
      <w:b/>
      <w:kern w:val="28"/>
      <w:u w:val="single"/>
      <w:lang w:val="de-AT" w:eastAsia="de-DE" w:bidi="ar-SA"/>
    </w:rPr>
  </w:style>
  <w:style w:type="paragraph" w:styleId="Textkrper-Zeileneinzug">
    <w:name w:val="Body Text Indent"/>
    <w:basedOn w:val="Standard"/>
    <w:rsid w:val="00B44042"/>
    <w:pPr>
      <w:spacing w:after="120"/>
      <w:ind w:left="283"/>
    </w:pPr>
  </w:style>
  <w:style w:type="paragraph" w:styleId="Textkrper">
    <w:name w:val="Body Text"/>
    <w:basedOn w:val="Standard"/>
    <w:rsid w:val="00B44042"/>
    <w:pPr>
      <w:spacing w:after="120"/>
    </w:pPr>
  </w:style>
  <w:style w:type="character" w:customStyle="1" w:styleId="berschrift1Zchn1">
    <w:name w:val="Überschrift 1 Zchn1"/>
    <w:rsid w:val="00B44042"/>
    <w:rPr>
      <w:rFonts w:ascii="Arial" w:hAnsi="Arial"/>
      <w:b/>
      <w:kern w:val="28"/>
      <w:u w:val="single"/>
      <w:lang w:val="de-AT" w:eastAsia="de-DE" w:bidi="ar-SA"/>
    </w:rPr>
  </w:style>
  <w:style w:type="character" w:customStyle="1" w:styleId="berschrift2Zchn">
    <w:name w:val="Überschrift 2 Zchn"/>
    <w:basedOn w:val="berschrift1Zchn1"/>
    <w:rsid w:val="00B44042"/>
    <w:rPr>
      <w:rFonts w:ascii="Arial" w:hAnsi="Arial"/>
      <w:b/>
      <w:kern w:val="28"/>
      <w:u w:val="single"/>
      <w:lang w:val="de-AT" w:eastAsia="de-DE" w:bidi="ar-SA"/>
    </w:rPr>
  </w:style>
  <w:style w:type="character" w:customStyle="1" w:styleId="hide">
    <w:name w:val="hide"/>
    <w:basedOn w:val="Absatz-Standardschriftart"/>
    <w:rsid w:val="00B44042"/>
  </w:style>
  <w:style w:type="character" w:customStyle="1" w:styleId="dnsuchwortft">
    <w:name w:val="dn_suchwortft"/>
    <w:basedOn w:val="Absatz-Standardschriftart"/>
    <w:rsid w:val="00B44042"/>
  </w:style>
  <w:style w:type="character" w:styleId="Kommentarzeichen">
    <w:name w:val="annotation reference"/>
    <w:uiPriority w:val="99"/>
    <w:semiHidden/>
    <w:rsid w:val="00B44042"/>
    <w:rPr>
      <w:sz w:val="16"/>
      <w:szCs w:val="16"/>
    </w:rPr>
  </w:style>
  <w:style w:type="paragraph" w:styleId="Kommentarthema">
    <w:name w:val="annotation subject"/>
    <w:basedOn w:val="Kommentartext"/>
    <w:next w:val="Kommentartext"/>
    <w:semiHidden/>
    <w:rsid w:val="00B44042"/>
    <w:rPr>
      <w:rFonts w:ascii="Arial" w:hAnsi="Arial"/>
      <w:b/>
      <w:bCs/>
      <w:lang w:val="de-AT"/>
    </w:rPr>
  </w:style>
  <w:style w:type="paragraph" w:styleId="Sprechblasentext">
    <w:name w:val="Balloon Text"/>
    <w:basedOn w:val="Standard"/>
    <w:semiHidden/>
    <w:rsid w:val="00B44042"/>
    <w:rPr>
      <w:rFonts w:ascii="Tahoma" w:hAnsi="Tahoma" w:cs="Tahoma"/>
      <w:sz w:val="16"/>
      <w:szCs w:val="16"/>
    </w:rPr>
  </w:style>
  <w:style w:type="character" w:styleId="Hervorhebung">
    <w:name w:val="Emphasis"/>
    <w:uiPriority w:val="20"/>
    <w:rsid w:val="00B44042"/>
    <w:rPr>
      <w:i/>
      <w:iCs/>
    </w:rPr>
  </w:style>
  <w:style w:type="character" w:customStyle="1" w:styleId="bold">
    <w:name w:val="bold"/>
    <w:basedOn w:val="Absatz-Standardschriftart"/>
    <w:rsid w:val="00B44042"/>
  </w:style>
  <w:style w:type="paragraph" w:customStyle="1" w:styleId="loose">
    <w:name w:val="loose"/>
    <w:basedOn w:val="Standard"/>
    <w:rsid w:val="00B44042"/>
    <w:pPr>
      <w:spacing w:before="100" w:beforeAutospacing="1" w:after="100" w:afterAutospacing="1"/>
    </w:pPr>
    <w:rPr>
      <w:rFonts w:ascii="Arial Unicode MS" w:eastAsia="Arial Unicode MS" w:hAnsi="Arial Unicode MS" w:cs="Arial Unicode MS"/>
      <w:sz w:val="24"/>
      <w:szCs w:val="24"/>
    </w:rPr>
  </w:style>
  <w:style w:type="paragraph" w:styleId="Dokumentstruktur">
    <w:name w:val="Document Map"/>
    <w:basedOn w:val="Standard"/>
    <w:semiHidden/>
    <w:rsid w:val="00B44042"/>
    <w:pPr>
      <w:shd w:val="clear" w:color="auto" w:fill="000080"/>
    </w:pPr>
    <w:rPr>
      <w:rFonts w:ascii="Tahoma" w:hAnsi="Tahoma" w:cs="Tahoma"/>
    </w:rPr>
  </w:style>
  <w:style w:type="character" w:customStyle="1" w:styleId="bold1">
    <w:name w:val="bold1"/>
    <w:rsid w:val="00C441C4"/>
    <w:rPr>
      <w:b/>
      <w:bCs/>
    </w:rPr>
  </w:style>
  <w:style w:type="character" w:customStyle="1" w:styleId="KopfzeileZchn">
    <w:name w:val="Kopfzeile Zchn"/>
    <w:link w:val="Kopfzeile"/>
    <w:rsid w:val="00476FD3"/>
    <w:rPr>
      <w:rFonts w:ascii="Arial" w:hAnsi="Arial"/>
      <w:lang w:eastAsia="de-DE"/>
    </w:rPr>
  </w:style>
  <w:style w:type="table" w:styleId="Tabellenraster">
    <w:name w:val="Table Grid"/>
    <w:aliases w:val="IPG Table 1"/>
    <w:basedOn w:val="NormaleTabelle"/>
    <w:rsid w:val="00F4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Aktuell">
    <w:name w:val="Table Contemporary"/>
    <w:basedOn w:val="NormaleTabelle"/>
    <w:rsid w:val="00F416E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HelleSchattierung1">
    <w:name w:val="Helle Schattierung1"/>
    <w:basedOn w:val="NormaleTabelle"/>
    <w:uiPriority w:val="60"/>
    <w:rsid w:val="0015652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NormaleTabelle"/>
    <w:uiPriority w:val="60"/>
    <w:rsid w:val="0015652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unotentextZchn">
    <w:name w:val="Fußnotentext Zchn"/>
    <w:link w:val="Funotentext"/>
    <w:uiPriority w:val="99"/>
    <w:rsid w:val="00F55836"/>
    <w:rPr>
      <w:rFonts w:ascii="Arial" w:hAnsi="Arial"/>
      <w:sz w:val="16"/>
      <w:lang w:val="en-US" w:eastAsia="de-DE"/>
    </w:rPr>
  </w:style>
  <w:style w:type="paragraph" w:styleId="Listenabsatz">
    <w:name w:val="List Paragraph"/>
    <w:basedOn w:val="Standard"/>
    <w:uiPriority w:val="34"/>
    <w:rsid w:val="00D24EBA"/>
    <w:pPr>
      <w:ind w:left="708"/>
    </w:pPr>
  </w:style>
  <w:style w:type="paragraph" w:customStyle="1" w:styleId="Fliesstexteohne">
    <w:name w:val="Fliesstexte ohne"/>
    <w:uiPriority w:val="99"/>
    <w:rsid w:val="00050680"/>
    <w:pPr>
      <w:autoSpaceDE w:val="0"/>
      <w:autoSpaceDN w:val="0"/>
      <w:adjustRightInd w:val="0"/>
      <w:spacing w:line="240" w:lineRule="atLeast"/>
      <w:jc w:val="both"/>
    </w:pPr>
    <w:rPr>
      <w:rFonts w:ascii="NewBskvll BT" w:hAnsi="NewBskvll BT" w:cs="NewBskvll BT"/>
      <w:color w:val="000000"/>
      <w:w w:val="0"/>
      <w:lang w:val="de-DE"/>
    </w:rPr>
  </w:style>
  <w:style w:type="paragraph" w:customStyle="1" w:styleId="Fliesstext">
    <w:name w:val="Fliesstext"/>
    <w:rsid w:val="00050680"/>
    <w:pPr>
      <w:autoSpaceDE w:val="0"/>
      <w:autoSpaceDN w:val="0"/>
      <w:adjustRightInd w:val="0"/>
      <w:spacing w:line="240" w:lineRule="atLeast"/>
      <w:ind w:firstLine="280"/>
      <w:jc w:val="both"/>
    </w:pPr>
    <w:rPr>
      <w:rFonts w:ascii="NewBskvll BT" w:hAnsi="NewBskvll BT" w:cs="NewBskvll BT"/>
      <w:color w:val="000000"/>
      <w:w w:val="0"/>
      <w:lang w:val="de-DE"/>
    </w:rPr>
  </w:style>
  <w:style w:type="character" w:customStyle="1" w:styleId="loose1">
    <w:name w:val="loose1"/>
    <w:basedOn w:val="Absatz-Standardschriftart"/>
    <w:rsid w:val="001666AE"/>
  </w:style>
  <w:style w:type="paragraph" w:customStyle="1" w:styleId="bodytext">
    <w:name w:val="bodytext"/>
    <w:basedOn w:val="Standard"/>
    <w:rsid w:val="007C1BC5"/>
    <w:pPr>
      <w:spacing w:after="82"/>
    </w:pPr>
    <w:rPr>
      <w:rFonts w:ascii="Times New Roman" w:hAnsi="Times New Roman"/>
      <w:sz w:val="24"/>
      <w:szCs w:val="24"/>
      <w:lang w:eastAsia="de-AT"/>
    </w:rPr>
  </w:style>
  <w:style w:type="character" w:styleId="BesuchterLink">
    <w:name w:val="FollowedHyperlink"/>
    <w:basedOn w:val="Absatz-Standardschriftart"/>
    <w:rsid w:val="00E043CE"/>
    <w:rPr>
      <w:color w:val="800080" w:themeColor="followedHyperlink"/>
      <w:u w:val="single"/>
    </w:rPr>
  </w:style>
  <w:style w:type="paragraph" w:styleId="Inhaltsverzeichnisberschrift">
    <w:name w:val="TOC Heading"/>
    <w:basedOn w:val="berschrift1"/>
    <w:next w:val="Standard"/>
    <w:uiPriority w:val="39"/>
    <w:unhideWhenUsed/>
    <w:rsid w:val="0070475B"/>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AT"/>
    </w:rPr>
  </w:style>
  <w:style w:type="paragraph" w:styleId="Verzeichnis2">
    <w:name w:val="toc 2"/>
    <w:basedOn w:val="Standard"/>
    <w:next w:val="Standard"/>
    <w:autoRedefine/>
    <w:uiPriority w:val="39"/>
    <w:rsid w:val="0070475B"/>
    <w:pPr>
      <w:spacing w:after="100"/>
      <w:ind w:left="200"/>
    </w:pPr>
  </w:style>
  <w:style w:type="character" w:customStyle="1" w:styleId="apple-converted-space">
    <w:name w:val="apple-converted-space"/>
    <w:basedOn w:val="Absatz-Standardschriftart"/>
    <w:rsid w:val="00AF3FC1"/>
  </w:style>
  <w:style w:type="paragraph" w:customStyle="1" w:styleId="date1">
    <w:name w:val="date1"/>
    <w:basedOn w:val="Standard"/>
    <w:rsid w:val="00F60DE3"/>
    <w:rPr>
      <w:rFonts w:ascii="Times New Roman" w:hAnsi="Times New Roman"/>
      <w:b/>
      <w:bCs/>
      <w:sz w:val="24"/>
      <w:szCs w:val="24"/>
      <w:lang w:eastAsia="de-AT"/>
    </w:rPr>
  </w:style>
  <w:style w:type="character" w:customStyle="1" w:styleId="bold2">
    <w:name w:val="bold2"/>
    <w:basedOn w:val="Absatz-Standardschriftart"/>
    <w:rsid w:val="00566AC8"/>
    <w:rPr>
      <w:b/>
      <w:bCs/>
    </w:rPr>
  </w:style>
  <w:style w:type="paragraph" w:customStyle="1" w:styleId="Text">
    <w:name w:val="Text"/>
    <w:basedOn w:val="Standard"/>
    <w:rsid w:val="008E734C"/>
    <w:pPr>
      <w:spacing w:line="260" w:lineRule="exact"/>
      <w:ind w:firstLine="397"/>
    </w:pPr>
    <w:rPr>
      <w:rFonts w:ascii="Times New Roman" w:hAnsi="Times New Roman"/>
      <w:sz w:val="22"/>
      <w:szCs w:val="24"/>
    </w:rPr>
  </w:style>
  <w:style w:type="paragraph" w:customStyle="1" w:styleId="2">
    <w:name w:val="Ü2"/>
    <w:basedOn w:val="Standard"/>
    <w:next w:val="Text"/>
    <w:autoRedefine/>
    <w:rsid w:val="008E734C"/>
    <w:pPr>
      <w:spacing w:before="240" w:after="60"/>
      <w:outlineLvl w:val="1"/>
    </w:pPr>
    <w:rPr>
      <w:rFonts w:ascii="Times New Roman" w:hAnsi="Times New Roman"/>
      <w:b/>
      <w:sz w:val="24"/>
      <w:szCs w:val="24"/>
    </w:rPr>
  </w:style>
  <w:style w:type="paragraph" w:customStyle="1" w:styleId="Aufzhlung1">
    <w:name w:val="Aufzählung1"/>
    <w:basedOn w:val="Text"/>
    <w:rsid w:val="008E734C"/>
    <w:pPr>
      <w:numPr>
        <w:numId w:val="2"/>
      </w:numPr>
      <w:tabs>
        <w:tab w:val="clear" w:pos="360"/>
        <w:tab w:val="left" w:pos="397"/>
      </w:tabs>
      <w:ind w:left="397" w:hanging="397"/>
    </w:pPr>
  </w:style>
  <w:style w:type="paragraph" w:customStyle="1" w:styleId="printable-content">
    <w:name w:val="printable-content"/>
    <w:basedOn w:val="Standard"/>
    <w:rsid w:val="008E734C"/>
    <w:pPr>
      <w:spacing w:before="100" w:beforeAutospacing="1" w:after="100" w:afterAutospacing="1"/>
    </w:pPr>
    <w:rPr>
      <w:rFonts w:ascii="Times New Roman" w:hAnsi="Times New Roman"/>
      <w:sz w:val="24"/>
      <w:szCs w:val="24"/>
      <w:lang w:eastAsia="de-AT"/>
    </w:rPr>
  </w:style>
  <w:style w:type="character" w:customStyle="1" w:styleId="italic1">
    <w:name w:val="italic1"/>
    <w:basedOn w:val="Absatz-Standardschriftart"/>
    <w:rsid w:val="00D94507"/>
    <w:rPr>
      <w:i/>
      <w:iCs/>
    </w:rPr>
  </w:style>
  <w:style w:type="character" w:customStyle="1" w:styleId="header-prefix3">
    <w:name w:val="header-prefix3"/>
    <w:basedOn w:val="Absatz-Standardschriftart"/>
    <w:rsid w:val="00970FC0"/>
  </w:style>
  <w:style w:type="character" w:customStyle="1" w:styleId="NichtaufgelsteErwhnung1">
    <w:name w:val="Nicht aufgelöste Erwähnung1"/>
    <w:basedOn w:val="Absatz-Standardschriftart"/>
    <w:uiPriority w:val="99"/>
    <w:semiHidden/>
    <w:unhideWhenUsed/>
    <w:rsid w:val="00876338"/>
    <w:rPr>
      <w:color w:val="605E5C"/>
      <w:shd w:val="clear" w:color="auto" w:fill="E1DFDD"/>
    </w:rPr>
  </w:style>
  <w:style w:type="character" w:customStyle="1" w:styleId="tple">
    <w:name w:val="tple"/>
    <w:basedOn w:val="Absatz-Standardschriftart"/>
    <w:rsid w:val="00CB678F"/>
  </w:style>
  <w:style w:type="paragraph" w:customStyle="1" w:styleId="article-desc">
    <w:name w:val="article-desc"/>
    <w:basedOn w:val="Standard"/>
    <w:rsid w:val="00E36C97"/>
    <w:pPr>
      <w:spacing w:before="100" w:beforeAutospacing="1" w:after="100" w:afterAutospacing="1"/>
    </w:pPr>
    <w:rPr>
      <w:rFonts w:ascii="Times New Roman" w:hAnsi="Times New Roman"/>
      <w:sz w:val="24"/>
      <w:szCs w:val="24"/>
      <w:lang w:val="de-DE"/>
    </w:rPr>
  </w:style>
  <w:style w:type="paragraph" w:customStyle="1" w:styleId="publish-date">
    <w:name w:val="publish-date"/>
    <w:basedOn w:val="Standard"/>
    <w:rsid w:val="00E36C97"/>
    <w:pPr>
      <w:spacing w:before="100" w:beforeAutospacing="1" w:after="100" w:afterAutospacing="1"/>
    </w:pPr>
    <w:rPr>
      <w:rFonts w:ascii="Times New Roman" w:hAnsi="Times New Roman"/>
      <w:sz w:val="24"/>
      <w:szCs w:val="24"/>
      <w:lang w:val="de-DE"/>
    </w:rPr>
  </w:style>
  <w:style w:type="paragraph" w:styleId="KeinLeerraum">
    <w:name w:val="No Spacing"/>
    <w:uiPriority w:val="1"/>
    <w:rsid w:val="00205850"/>
    <w:rPr>
      <w:rFonts w:asciiTheme="minorHAnsi" w:eastAsiaTheme="minorHAnsi" w:hAnsiTheme="minorHAnsi" w:cstheme="minorBidi"/>
      <w:sz w:val="22"/>
      <w:szCs w:val="22"/>
      <w:lang w:val="de-DE" w:eastAsia="en-US"/>
    </w:rPr>
  </w:style>
  <w:style w:type="character" w:styleId="NichtaufgelsteErwhnung">
    <w:name w:val="Unresolved Mention"/>
    <w:basedOn w:val="Absatz-Standardschriftart"/>
    <w:uiPriority w:val="99"/>
    <w:semiHidden/>
    <w:unhideWhenUsed/>
    <w:rsid w:val="001C2E81"/>
    <w:rPr>
      <w:color w:val="605E5C"/>
      <w:shd w:val="clear" w:color="auto" w:fill="E1DFDD"/>
    </w:rPr>
  </w:style>
  <w:style w:type="table" w:styleId="HelleListe-Akzent6">
    <w:name w:val="Light List Accent 6"/>
    <w:basedOn w:val="NormaleTabelle"/>
    <w:uiPriority w:val="61"/>
    <w:rsid w:val="002330B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pPr>
      <w:rPr>
        <w:rFonts w:cs="Times New Roman"/>
        <w:b/>
        <w:bCs/>
        <w:color w:val="FFFFFF" w:themeColor="background1"/>
      </w:rPr>
      <w:tblPr/>
      <w:tcPr>
        <w:shd w:val="clear" w:color="auto" w:fill="F79646" w:themeFill="accent6"/>
      </w:tcPr>
    </w:tblStylePr>
    <w:tblStylePr w:type="lastRow">
      <w:pPr>
        <w:spacing w:before="0" w:after="0"/>
      </w:pPr>
      <w:rPr>
        <w:rFonts w:cs="Times New Roman"/>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rPr>
        <w:rFonts w:cs="Times New Roman"/>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inline-block">
    <w:name w:val="inline-block"/>
    <w:basedOn w:val="Absatz-Standardschriftart"/>
    <w:rsid w:val="00120FD9"/>
  </w:style>
  <w:style w:type="table" w:styleId="MittlereSchattierung1-Akzent6">
    <w:name w:val="Medium Shading 1 Accent 6"/>
    <w:basedOn w:val="NormaleTabelle"/>
    <w:uiPriority w:val="63"/>
    <w:rsid w:val="00894D1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KommentartextZchn">
    <w:name w:val="Kommentartext Zchn"/>
    <w:basedOn w:val="Absatz-Standardschriftart"/>
    <w:link w:val="Kommentartext"/>
    <w:uiPriority w:val="99"/>
    <w:semiHidden/>
    <w:rsid w:val="00B21942"/>
    <w:rPr>
      <w:lang w:val="de-DE" w:eastAsia="de-DE"/>
    </w:rPr>
  </w:style>
  <w:style w:type="paragraph" w:styleId="berarbeitung">
    <w:name w:val="Revision"/>
    <w:hidden/>
    <w:uiPriority w:val="99"/>
    <w:semiHidden/>
    <w:rsid w:val="00F3340D"/>
    <w:rPr>
      <w:rFonts w:ascii="Arial" w:hAnsi="Arial"/>
      <w:lang w:eastAsia="de-DE"/>
    </w:rPr>
  </w:style>
  <w:style w:type="paragraph" w:styleId="Verzeichnis3">
    <w:name w:val="toc 3"/>
    <w:basedOn w:val="Standard"/>
    <w:next w:val="Standard"/>
    <w:autoRedefine/>
    <w:uiPriority w:val="39"/>
    <w:unhideWhenUsed/>
    <w:rsid w:val="00A375A3"/>
    <w:pPr>
      <w:spacing w:after="100" w:line="259" w:lineRule="auto"/>
      <w:ind w:left="440"/>
    </w:pPr>
    <w:rPr>
      <w:rFonts w:asciiTheme="minorHAnsi" w:eastAsiaTheme="minorEastAsia" w:hAnsiTheme="minorHAnsi"/>
      <w:sz w:val="22"/>
      <w:szCs w:val="22"/>
      <w:lang w:val="de-DE"/>
    </w:rPr>
  </w:style>
  <w:style w:type="table" w:styleId="Gitternetztabelle4Akzent6">
    <w:name w:val="Grid Table 4 Accent 6"/>
    <w:basedOn w:val="NormaleTabelle"/>
    <w:uiPriority w:val="49"/>
    <w:rsid w:val="00933C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IPGTable11">
    <w:name w:val="IPG Table 11"/>
    <w:basedOn w:val="NormaleTabelle"/>
    <w:next w:val="Tabellenraster"/>
    <w:rsid w:val="00DC76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Aufzaehle1Ziffer">
    <w:name w:val="52_Aufzaehl_e1_Ziffer"/>
    <w:basedOn w:val="Standard"/>
    <w:rsid w:val="00B82D93"/>
    <w:pPr>
      <w:tabs>
        <w:tab w:val="right" w:pos="624"/>
        <w:tab w:val="left" w:pos="680"/>
      </w:tabs>
      <w:spacing w:before="40" w:line="220" w:lineRule="exact"/>
      <w:ind w:left="680" w:hanging="680"/>
      <w:jc w:val="both"/>
    </w:pPr>
    <w:rPr>
      <w:rFonts w:ascii="Times New Roman" w:eastAsiaTheme="minorEastAsia" w:hAnsi="Times New Roman"/>
      <w:color w:val="000000"/>
      <w:lang w:eastAsia="de-AT"/>
    </w:rPr>
  </w:style>
  <w:style w:type="paragraph" w:styleId="Untertitel">
    <w:name w:val="Subtitle"/>
    <w:basedOn w:val="Standard"/>
    <w:next w:val="Standard"/>
    <w:link w:val="UntertitelZchn"/>
    <w:rsid w:val="00F353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F3535D"/>
    <w:rPr>
      <w:rFonts w:asciiTheme="minorHAnsi" w:eastAsiaTheme="minorEastAsia" w:hAnsiTheme="minorHAnsi" w:cstheme="minorBidi"/>
      <w:color w:val="5A5A5A" w:themeColor="text1" w:themeTint="A5"/>
      <w:spacing w:val="15"/>
      <w:sz w:val="22"/>
      <w:szCs w:val="22"/>
      <w:lang w:eastAsia="de-DE"/>
    </w:rPr>
  </w:style>
  <w:style w:type="character" w:styleId="SchwacheHervorhebung">
    <w:name w:val="Subtle Emphasis"/>
    <w:basedOn w:val="Absatz-Standardschriftart"/>
    <w:uiPriority w:val="19"/>
    <w:rsid w:val="00F3535D"/>
    <w:rPr>
      <w:i/>
      <w:iCs/>
      <w:color w:val="404040" w:themeColor="text1" w:themeTint="BF"/>
    </w:rPr>
  </w:style>
  <w:style w:type="character" w:styleId="IntensiveHervorhebung">
    <w:name w:val="Intense Emphasis"/>
    <w:basedOn w:val="Absatz-Standardschriftart"/>
    <w:uiPriority w:val="21"/>
    <w:rsid w:val="00F3535D"/>
    <w:rPr>
      <w:i/>
      <w:iCs/>
      <w:color w:val="4F81BD" w:themeColor="accent1"/>
    </w:rPr>
  </w:style>
  <w:style w:type="paragraph" w:customStyle="1" w:styleId="AuzhlungenKlifo">
    <w:name w:val="Auzählungen_Klifo"/>
    <w:basedOn w:val="Listenabsatz"/>
    <w:qFormat/>
    <w:rsid w:val="00560995"/>
    <w:pPr>
      <w:keepNext/>
      <w:widowControl w:val="0"/>
      <w:numPr>
        <w:numId w:val="5"/>
      </w:numPr>
      <w:spacing w:line="276" w:lineRule="auto"/>
      <w:jc w:val="both"/>
    </w:pPr>
    <w:rPr>
      <w:rFonts w:cs="Arial"/>
      <w:b/>
      <w:bCs/>
    </w:rPr>
  </w:style>
  <w:style w:type="paragraph" w:customStyle="1" w:styleId="AufzhlungenKlifonichtfett">
    <w:name w:val="Aufzählungen Klifo nicht fett"/>
    <w:basedOn w:val="StandardWeb"/>
    <w:qFormat/>
    <w:rsid w:val="001E0EBF"/>
    <w:pPr>
      <w:keepNext/>
      <w:widowControl w:val="0"/>
      <w:numPr>
        <w:numId w:val="15"/>
      </w:numPr>
      <w:shd w:val="clear" w:color="auto" w:fill="FFFFFF"/>
      <w:spacing w:before="0" w:beforeAutospacing="0" w:after="0" w:afterAutospacing="0" w:line="276" w:lineRule="auto"/>
      <w:ind w:left="568" w:hanging="284"/>
      <w:jc w:val="both"/>
    </w:pPr>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9969">
      <w:bodyDiv w:val="1"/>
      <w:marLeft w:val="0"/>
      <w:marRight w:val="0"/>
      <w:marTop w:val="0"/>
      <w:marBottom w:val="0"/>
      <w:divBdr>
        <w:top w:val="none" w:sz="0" w:space="0" w:color="auto"/>
        <w:left w:val="none" w:sz="0" w:space="0" w:color="auto"/>
        <w:bottom w:val="none" w:sz="0" w:space="0" w:color="auto"/>
        <w:right w:val="none" w:sz="0" w:space="0" w:color="auto"/>
      </w:divBdr>
    </w:div>
    <w:div w:id="31150327">
      <w:bodyDiv w:val="1"/>
      <w:marLeft w:val="0"/>
      <w:marRight w:val="0"/>
      <w:marTop w:val="0"/>
      <w:marBottom w:val="0"/>
      <w:divBdr>
        <w:top w:val="none" w:sz="0" w:space="0" w:color="auto"/>
        <w:left w:val="none" w:sz="0" w:space="0" w:color="auto"/>
        <w:bottom w:val="none" w:sz="0" w:space="0" w:color="auto"/>
        <w:right w:val="none" w:sz="0" w:space="0" w:color="auto"/>
      </w:divBdr>
    </w:div>
    <w:div w:id="39282126">
      <w:bodyDiv w:val="1"/>
      <w:marLeft w:val="0"/>
      <w:marRight w:val="0"/>
      <w:marTop w:val="0"/>
      <w:marBottom w:val="0"/>
      <w:divBdr>
        <w:top w:val="none" w:sz="0" w:space="0" w:color="auto"/>
        <w:left w:val="none" w:sz="0" w:space="0" w:color="auto"/>
        <w:bottom w:val="none" w:sz="0" w:space="0" w:color="auto"/>
        <w:right w:val="none" w:sz="0" w:space="0" w:color="auto"/>
      </w:divBdr>
      <w:divsChild>
        <w:div w:id="1526557003">
          <w:marLeft w:val="0"/>
          <w:marRight w:val="0"/>
          <w:marTop w:val="0"/>
          <w:marBottom w:val="0"/>
          <w:divBdr>
            <w:top w:val="none" w:sz="0" w:space="0" w:color="auto"/>
            <w:left w:val="none" w:sz="0" w:space="0" w:color="auto"/>
            <w:bottom w:val="none" w:sz="0" w:space="0" w:color="auto"/>
            <w:right w:val="none" w:sz="0" w:space="0" w:color="auto"/>
          </w:divBdr>
          <w:divsChild>
            <w:div w:id="1688868938">
              <w:marLeft w:val="0"/>
              <w:marRight w:val="0"/>
              <w:marTop w:val="0"/>
              <w:marBottom w:val="0"/>
              <w:divBdr>
                <w:top w:val="none" w:sz="0" w:space="0" w:color="auto"/>
                <w:left w:val="none" w:sz="0" w:space="0" w:color="auto"/>
                <w:bottom w:val="none" w:sz="0" w:space="0" w:color="auto"/>
                <w:right w:val="none" w:sz="0" w:space="0" w:color="auto"/>
              </w:divBdr>
              <w:divsChild>
                <w:div w:id="493181027">
                  <w:marLeft w:val="0"/>
                  <w:marRight w:val="0"/>
                  <w:marTop w:val="0"/>
                  <w:marBottom w:val="0"/>
                  <w:divBdr>
                    <w:top w:val="none" w:sz="0" w:space="0" w:color="auto"/>
                    <w:left w:val="none" w:sz="0" w:space="0" w:color="auto"/>
                    <w:bottom w:val="none" w:sz="0" w:space="0" w:color="auto"/>
                    <w:right w:val="none" w:sz="0" w:space="0" w:color="auto"/>
                  </w:divBdr>
                  <w:divsChild>
                    <w:div w:id="629825630">
                      <w:marLeft w:val="0"/>
                      <w:marRight w:val="0"/>
                      <w:marTop w:val="0"/>
                      <w:marBottom w:val="0"/>
                      <w:divBdr>
                        <w:top w:val="none" w:sz="0" w:space="0" w:color="auto"/>
                        <w:left w:val="none" w:sz="0" w:space="0" w:color="auto"/>
                        <w:bottom w:val="none" w:sz="0" w:space="0" w:color="auto"/>
                        <w:right w:val="none" w:sz="0" w:space="0" w:color="auto"/>
                      </w:divBdr>
                      <w:divsChild>
                        <w:div w:id="1269005642">
                          <w:marLeft w:val="0"/>
                          <w:marRight w:val="0"/>
                          <w:marTop w:val="0"/>
                          <w:marBottom w:val="0"/>
                          <w:divBdr>
                            <w:top w:val="none" w:sz="0" w:space="0" w:color="auto"/>
                            <w:left w:val="none" w:sz="0" w:space="0" w:color="auto"/>
                            <w:bottom w:val="none" w:sz="0" w:space="0" w:color="auto"/>
                            <w:right w:val="none" w:sz="0" w:space="0" w:color="auto"/>
                          </w:divBdr>
                          <w:divsChild>
                            <w:div w:id="15946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5728">
      <w:bodyDiv w:val="1"/>
      <w:marLeft w:val="0"/>
      <w:marRight w:val="0"/>
      <w:marTop w:val="0"/>
      <w:marBottom w:val="0"/>
      <w:divBdr>
        <w:top w:val="none" w:sz="0" w:space="0" w:color="auto"/>
        <w:left w:val="none" w:sz="0" w:space="0" w:color="auto"/>
        <w:bottom w:val="none" w:sz="0" w:space="0" w:color="auto"/>
        <w:right w:val="none" w:sz="0" w:space="0" w:color="auto"/>
      </w:divBdr>
    </w:div>
    <w:div w:id="126969485">
      <w:bodyDiv w:val="1"/>
      <w:marLeft w:val="0"/>
      <w:marRight w:val="0"/>
      <w:marTop w:val="0"/>
      <w:marBottom w:val="0"/>
      <w:divBdr>
        <w:top w:val="none" w:sz="0" w:space="0" w:color="auto"/>
        <w:left w:val="none" w:sz="0" w:space="0" w:color="auto"/>
        <w:bottom w:val="none" w:sz="0" w:space="0" w:color="auto"/>
        <w:right w:val="none" w:sz="0" w:space="0" w:color="auto"/>
      </w:divBdr>
      <w:divsChild>
        <w:div w:id="234751951">
          <w:marLeft w:val="0"/>
          <w:marRight w:val="0"/>
          <w:marTop w:val="0"/>
          <w:marBottom w:val="0"/>
          <w:divBdr>
            <w:top w:val="none" w:sz="0" w:space="0" w:color="auto"/>
            <w:left w:val="none" w:sz="0" w:space="0" w:color="auto"/>
            <w:bottom w:val="none" w:sz="0" w:space="0" w:color="auto"/>
            <w:right w:val="none" w:sz="0" w:space="0" w:color="auto"/>
          </w:divBdr>
          <w:divsChild>
            <w:div w:id="127094847">
              <w:marLeft w:val="0"/>
              <w:marRight w:val="0"/>
              <w:marTop w:val="0"/>
              <w:marBottom w:val="0"/>
              <w:divBdr>
                <w:top w:val="none" w:sz="0" w:space="0" w:color="auto"/>
                <w:left w:val="none" w:sz="0" w:space="0" w:color="auto"/>
                <w:bottom w:val="none" w:sz="0" w:space="0" w:color="auto"/>
                <w:right w:val="none" w:sz="0" w:space="0" w:color="auto"/>
              </w:divBdr>
              <w:divsChild>
                <w:div w:id="2063478841">
                  <w:marLeft w:val="0"/>
                  <w:marRight w:val="0"/>
                  <w:marTop w:val="0"/>
                  <w:marBottom w:val="0"/>
                  <w:divBdr>
                    <w:top w:val="none" w:sz="0" w:space="0" w:color="auto"/>
                    <w:left w:val="none" w:sz="0" w:space="0" w:color="auto"/>
                    <w:bottom w:val="none" w:sz="0" w:space="0" w:color="auto"/>
                    <w:right w:val="none" w:sz="0" w:space="0" w:color="auto"/>
                  </w:divBdr>
                  <w:divsChild>
                    <w:div w:id="1273587349">
                      <w:marLeft w:val="0"/>
                      <w:marRight w:val="0"/>
                      <w:marTop w:val="0"/>
                      <w:marBottom w:val="0"/>
                      <w:divBdr>
                        <w:top w:val="none" w:sz="0" w:space="0" w:color="auto"/>
                        <w:left w:val="none" w:sz="0" w:space="0" w:color="auto"/>
                        <w:bottom w:val="none" w:sz="0" w:space="0" w:color="auto"/>
                        <w:right w:val="none" w:sz="0" w:space="0" w:color="auto"/>
                      </w:divBdr>
                      <w:divsChild>
                        <w:div w:id="18202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797">
      <w:bodyDiv w:val="1"/>
      <w:marLeft w:val="0"/>
      <w:marRight w:val="0"/>
      <w:marTop w:val="0"/>
      <w:marBottom w:val="0"/>
      <w:divBdr>
        <w:top w:val="none" w:sz="0" w:space="0" w:color="auto"/>
        <w:left w:val="none" w:sz="0" w:space="0" w:color="auto"/>
        <w:bottom w:val="none" w:sz="0" w:space="0" w:color="auto"/>
        <w:right w:val="none" w:sz="0" w:space="0" w:color="auto"/>
      </w:divBdr>
      <w:divsChild>
        <w:div w:id="1755008149">
          <w:marLeft w:val="0"/>
          <w:marRight w:val="0"/>
          <w:marTop w:val="0"/>
          <w:marBottom w:val="0"/>
          <w:divBdr>
            <w:top w:val="none" w:sz="0" w:space="0" w:color="auto"/>
            <w:left w:val="none" w:sz="0" w:space="0" w:color="auto"/>
            <w:bottom w:val="none" w:sz="0" w:space="0" w:color="auto"/>
            <w:right w:val="none" w:sz="0" w:space="0" w:color="auto"/>
          </w:divBdr>
          <w:divsChild>
            <w:div w:id="1378819307">
              <w:marLeft w:val="0"/>
              <w:marRight w:val="0"/>
              <w:marTop w:val="0"/>
              <w:marBottom w:val="0"/>
              <w:divBdr>
                <w:top w:val="none" w:sz="0" w:space="0" w:color="auto"/>
                <w:left w:val="none" w:sz="0" w:space="0" w:color="auto"/>
                <w:bottom w:val="none" w:sz="0" w:space="0" w:color="auto"/>
                <w:right w:val="none" w:sz="0" w:space="0" w:color="auto"/>
              </w:divBdr>
              <w:divsChild>
                <w:div w:id="1076174348">
                  <w:marLeft w:val="0"/>
                  <w:marRight w:val="0"/>
                  <w:marTop w:val="0"/>
                  <w:marBottom w:val="0"/>
                  <w:divBdr>
                    <w:top w:val="none" w:sz="0" w:space="0" w:color="auto"/>
                    <w:left w:val="none" w:sz="0" w:space="0" w:color="auto"/>
                    <w:bottom w:val="none" w:sz="0" w:space="0" w:color="auto"/>
                    <w:right w:val="none" w:sz="0" w:space="0" w:color="auto"/>
                  </w:divBdr>
                  <w:divsChild>
                    <w:div w:id="1488787239">
                      <w:marLeft w:val="-225"/>
                      <w:marRight w:val="-225"/>
                      <w:marTop w:val="0"/>
                      <w:marBottom w:val="0"/>
                      <w:divBdr>
                        <w:top w:val="none" w:sz="0" w:space="0" w:color="auto"/>
                        <w:left w:val="none" w:sz="0" w:space="0" w:color="auto"/>
                        <w:bottom w:val="none" w:sz="0" w:space="0" w:color="auto"/>
                        <w:right w:val="none" w:sz="0" w:space="0" w:color="auto"/>
                      </w:divBdr>
                      <w:divsChild>
                        <w:div w:id="83428878">
                          <w:marLeft w:val="0"/>
                          <w:marRight w:val="0"/>
                          <w:marTop w:val="0"/>
                          <w:marBottom w:val="0"/>
                          <w:divBdr>
                            <w:top w:val="none" w:sz="0" w:space="0" w:color="auto"/>
                            <w:left w:val="none" w:sz="0" w:space="0" w:color="auto"/>
                            <w:bottom w:val="none" w:sz="0" w:space="0" w:color="auto"/>
                            <w:right w:val="none" w:sz="0" w:space="0" w:color="auto"/>
                          </w:divBdr>
                          <w:divsChild>
                            <w:div w:id="12600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10985">
      <w:bodyDiv w:val="1"/>
      <w:marLeft w:val="0"/>
      <w:marRight w:val="0"/>
      <w:marTop w:val="0"/>
      <w:marBottom w:val="0"/>
      <w:divBdr>
        <w:top w:val="none" w:sz="0" w:space="0" w:color="auto"/>
        <w:left w:val="none" w:sz="0" w:space="0" w:color="auto"/>
        <w:bottom w:val="none" w:sz="0" w:space="0" w:color="auto"/>
        <w:right w:val="none" w:sz="0" w:space="0" w:color="auto"/>
      </w:divBdr>
    </w:div>
    <w:div w:id="174267125">
      <w:bodyDiv w:val="1"/>
      <w:marLeft w:val="0"/>
      <w:marRight w:val="0"/>
      <w:marTop w:val="0"/>
      <w:marBottom w:val="0"/>
      <w:divBdr>
        <w:top w:val="none" w:sz="0" w:space="0" w:color="auto"/>
        <w:left w:val="none" w:sz="0" w:space="0" w:color="auto"/>
        <w:bottom w:val="none" w:sz="0" w:space="0" w:color="auto"/>
        <w:right w:val="none" w:sz="0" w:space="0" w:color="auto"/>
      </w:divBdr>
    </w:div>
    <w:div w:id="182477740">
      <w:bodyDiv w:val="1"/>
      <w:marLeft w:val="0"/>
      <w:marRight w:val="0"/>
      <w:marTop w:val="0"/>
      <w:marBottom w:val="0"/>
      <w:divBdr>
        <w:top w:val="none" w:sz="0" w:space="0" w:color="auto"/>
        <w:left w:val="none" w:sz="0" w:space="0" w:color="auto"/>
        <w:bottom w:val="none" w:sz="0" w:space="0" w:color="auto"/>
        <w:right w:val="none" w:sz="0" w:space="0" w:color="auto"/>
      </w:divBdr>
      <w:divsChild>
        <w:div w:id="1463228922">
          <w:marLeft w:val="0"/>
          <w:marRight w:val="0"/>
          <w:marTop w:val="0"/>
          <w:marBottom w:val="0"/>
          <w:divBdr>
            <w:top w:val="none" w:sz="0" w:space="0" w:color="auto"/>
            <w:left w:val="none" w:sz="0" w:space="0" w:color="auto"/>
            <w:bottom w:val="none" w:sz="0" w:space="0" w:color="auto"/>
            <w:right w:val="none" w:sz="0" w:space="0" w:color="auto"/>
          </w:divBdr>
          <w:divsChild>
            <w:div w:id="2072538535">
              <w:marLeft w:val="0"/>
              <w:marRight w:val="0"/>
              <w:marTop w:val="0"/>
              <w:marBottom w:val="0"/>
              <w:divBdr>
                <w:top w:val="none" w:sz="0" w:space="0" w:color="auto"/>
                <w:left w:val="none" w:sz="0" w:space="0" w:color="auto"/>
                <w:bottom w:val="none" w:sz="0" w:space="0" w:color="auto"/>
                <w:right w:val="none" w:sz="0" w:space="0" w:color="auto"/>
              </w:divBdr>
              <w:divsChild>
                <w:div w:id="1321230966">
                  <w:marLeft w:val="0"/>
                  <w:marRight w:val="0"/>
                  <w:marTop w:val="0"/>
                  <w:marBottom w:val="0"/>
                  <w:divBdr>
                    <w:top w:val="none" w:sz="0" w:space="0" w:color="auto"/>
                    <w:left w:val="none" w:sz="0" w:space="0" w:color="auto"/>
                    <w:bottom w:val="none" w:sz="0" w:space="0" w:color="auto"/>
                    <w:right w:val="none" w:sz="0" w:space="0" w:color="auto"/>
                  </w:divBdr>
                  <w:divsChild>
                    <w:div w:id="1493520652">
                      <w:marLeft w:val="-225"/>
                      <w:marRight w:val="-225"/>
                      <w:marTop w:val="0"/>
                      <w:marBottom w:val="0"/>
                      <w:divBdr>
                        <w:top w:val="none" w:sz="0" w:space="0" w:color="auto"/>
                        <w:left w:val="none" w:sz="0" w:space="0" w:color="auto"/>
                        <w:bottom w:val="none" w:sz="0" w:space="0" w:color="auto"/>
                        <w:right w:val="none" w:sz="0" w:space="0" w:color="auto"/>
                      </w:divBdr>
                      <w:divsChild>
                        <w:div w:id="1765610049">
                          <w:marLeft w:val="0"/>
                          <w:marRight w:val="0"/>
                          <w:marTop w:val="0"/>
                          <w:marBottom w:val="0"/>
                          <w:divBdr>
                            <w:top w:val="none" w:sz="0" w:space="0" w:color="auto"/>
                            <w:left w:val="none" w:sz="0" w:space="0" w:color="auto"/>
                            <w:bottom w:val="none" w:sz="0" w:space="0" w:color="auto"/>
                            <w:right w:val="none" w:sz="0" w:space="0" w:color="auto"/>
                          </w:divBdr>
                          <w:divsChild>
                            <w:div w:id="20861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462254">
      <w:bodyDiv w:val="1"/>
      <w:marLeft w:val="0"/>
      <w:marRight w:val="0"/>
      <w:marTop w:val="0"/>
      <w:marBottom w:val="0"/>
      <w:divBdr>
        <w:top w:val="none" w:sz="0" w:space="0" w:color="auto"/>
        <w:left w:val="none" w:sz="0" w:space="0" w:color="auto"/>
        <w:bottom w:val="none" w:sz="0" w:space="0" w:color="auto"/>
        <w:right w:val="none" w:sz="0" w:space="0" w:color="auto"/>
      </w:divBdr>
    </w:div>
    <w:div w:id="239099329">
      <w:bodyDiv w:val="1"/>
      <w:marLeft w:val="0"/>
      <w:marRight w:val="0"/>
      <w:marTop w:val="0"/>
      <w:marBottom w:val="0"/>
      <w:divBdr>
        <w:top w:val="none" w:sz="0" w:space="0" w:color="auto"/>
        <w:left w:val="none" w:sz="0" w:space="0" w:color="auto"/>
        <w:bottom w:val="none" w:sz="0" w:space="0" w:color="auto"/>
        <w:right w:val="none" w:sz="0" w:space="0" w:color="auto"/>
      </w:divBdr>
    </w:div>
    <w:div w:id="243077028">
      <w:bodyDiv w:val="1"/>
      <w:marLeft w:val="0"/>
      <w:marRight w:val="0"/>
      <w:marTop w:val="0"/>
      <w:marBottom w:val="0"/>
      <w:divBdr>
        <w:top w:val="none" w:sz="0" w:space="0" w:color="auto"/>
        <w:left w:val="none" w:sz="0" w:space="0" w:color="auto"/>
        <w:bottom w:val="none" w:sz="0" w:space="0" w:color="auto"/>
        <w:right w:val="none" w:sz="0" w:space="0" w:color="auto"/>
      </w:divBdr>
    </w:div>
    <w:div w:id="264506739">
      <w:bodyDiv w:val="1"/>
      <w:marLeft w:val="0"/>
      <w:marRight w:val="0"/>
      <w:marTop w:val="0"/>
      <w:marBottom w:val="0"/>
      <w:divBdr>
        <w:top w:val="none" w:sz="0" w:space="0" w:color="auto"/>
        <w:left w:val="none" w:sz="0" w:space="0" w:color="auto"/>
        <w:bottom w:val="none" w:sz="0" w:space="0" w:color="auto"/>
        <w:right w:val="none" w:sz="0" w:space="0" w:color="auto"/>
      </w:divBdr>
    </w:div>
    <w:div w:id="276180829">
      <w:bodyDiv w:val="1"/>
      <w:marLeft w:val="0"/>
      <w:marRight w:val="0"/>
      <w:marTop w:val="0"/>
      <w:marBottom w:val="0"/>
      <w:divBdr>
        <w:top w:val="none" w:sz="0" w:space="0" w:color="auto"/>
        <w:left w:val="none" w:sz="0" w:space="0" w:color="auto"/>
        <w:bottom w:val="none" w:sz="0" w:space="0" w:color="auto"/>
        <w:right w:val="none" w:sz="0" w:space="0" w:color="auto"/>
      </w:divBdr>
    </w:div>
    <w:div w:id="322516395">
      <w:bodyDiv w:val="1"/>
      <w:marLeft w:val="0"/>
      <w:marRight w:val="0"/>
      <w:marTop w:val="0"/>
      <w:marBottom w:val="0"/>
      <w:divBdr>
        <w:top w:val="none" w:sz="0" w:space="0" w:color="auto"/>
        <w:left w:val="none" w:sz="0" w:space="0" w:color="auto"/>
        <w:bottom w:val="none" w:sz="0" w:space="0" w:color="auto"/>
        <w:right w:val="none" w:sz="0" w:space="0" w:color="auto"/>
      </w:divBdr>
    </w:div>
    <w:div w:id="323046409">
      <w:bodyDiv w:val="1"/>
      <w:marLeft w:val="0"/>
      <w:marRight w:val="0"/>
      <w:marTop w:val="0"/>
      <w:marBottom w:val="0"/>
      <w:divBdr>
        <w:top w:val="none" w:sz="0" w:space="0" w:color="auto"/>
        <w:left w:val="none" w:sz="0" w:space="0" w:color="auto"/>
        <w:bottom w:val="none" w:sz="0" w:space="0" w:color="auto"/>
        <w:right w:val="none" w:sz="0" w:space="0" w:color="auto"/>
      </w:divBdr>
    </w:div>
    <w:div w:id="339085845">
      <w:bodyDiv w:val="1"/>
      <w:marLeft w:val="0"/>
      <w:marRight w:val="0"/>
      <w:marTop w:val="0"/>
      <w:marBottom w:val="0"/>
      <w:divBdr>
        <w:top w:val="none" w:sz="0" w:space="0" w:color="auto"/>
        <w:left w:val="none" w:sz="0" w:space="0" w:color="auto"/>
        <w:bottom w:val="none" w:sz="0" w:space="0" w:color="auto"/>
        <w:right w:val="none" w:sz="0" w:space="0" w:color="auto"/>
      </w:divBdr>
      <w:divsChild>
        <w:div w:id="1559972914">
          <w:marLeft w:val="0"/>
          <w:marRight w:val="0"/>
          <w:marTop w:val="0"/>
          <w:marBottom w:val="0"/>
          <w:divBdr>
            <w:top w:val="none" w:sz="0" w:space="0" w:color="auto"/>
            <w:left w:val="none" w:sz="0" w:space="0" w:color="auto"/>
            <w:bottom w:val="none" w:sz="0" w:space="0" w:color="auto"/>
            <w:right w:val="none" w:sz="0" w:space="0" w:color="auto"/>
          </w:divBdr>
          <w:divsChild>
            <w:div w:id="829177075">
              <w:marLeft w:val="0"/>
              <w:marRight w:val="0"/>
              <w:marTop w:val="0"/>
              <w:marBottom w:val="0"/>
              <w:divBdr>
                <w:top w:val="none" w:sz="0" w:space="0" w:color="auto"/>
                <w:left w:val="none" w:sz="0" w:space="0" w:color="auto"/>
                <w:bottom w:val="none" w:sz="0" w:space="0" w:color="auto"/>
                <w:right w:val="none" w:sz="0" w:space="0" w:color="auto"/>
              </w:divBdr>
            </w:div>
          </w:divsChild>
        </w:div>
        <w:div w:id="652488060">
          <w:marLeft w:val="0"/>
          <w:marRight w:val="0"/>
          <w:marTop w:val="0"/>
          <w:marBottom w:val="0"/>
          <w:divBdr>
            <w:top w:val="none" w:sz="0" w:space="0" w:color="auto"/>
            <w:left w:val="none" w:sz="0" w:space="0" w:color="auto"/>
            <w:bottom w:val="none" w:sz="0" w:space="0" w:color="auto"/>
            <w:right w:val="none" w:sz="0" w:space="0" w:color="auto"/>
          </w:divBdr>
          <w:divsChild>
            <w:div w:id="656037241">
              <w:marLeft w:val="0"/>
              <w:marRight w:val="0"/>
              <w:marTop w:val="0"/>
              <w:marBottom w:val="0"/>
              <w:divBdr>
                <w:top w:val="none" w:sz="0" w:space="0" w:color="auto"/>
                <w:left w:val="none" w:sz="0" w:space="0" w:color="auto"/>
                <w:bottom w:val="none" w:sz="0" w:space="0" w:color="auto"/>
                <w:right w:val="none" w:sz="0" w:space="0" w:color="auto"/>
              </w:divBdr>
            </w:div>
          </w:divsChild>
        </w:div>
        <w:div w:id="1729382011">
          <w:marLeft w:val="0"/>
          <w:marRight w:val="0"/>
          <w:marTop w:val="0"/>
          <w:marBottom w:val="0"/>
          <w:divBdr>
            <w:top w:val="none" w:sz="0" w:space="0" w:color="auto"/>
            <w:left w:val="none" w:sz="0" w:space="0" w:color="auto"/>
            <w:bottom w:val="none" w:sz="0" w:space="0" w:color="auto"/>
            <w:right w:val="none" w:sz="0" w:space="0" w:color="auto"/>
          </w:divBdr>
          <w:divsChild>
            <w:div w:id="263651557">
              <w:marLeft w:val="0"/>
              <w:marRight w:val="0"/>
              <w:marTop w:val="0"/>
              <w:marBottom w:val="0"/>
              <w:divBdr>
                <w:top w:val="none" w:sz="0" w:space="0" w:color="auto"/>
                <w:left w:val="none" w:sz="0" w:space="0" w:color="auto"/>
                <w:bottom w:val="none" w:sz="0" w:space="0" w:color="auto"/>
                <w:right w:val="none" w:sz="0" w:space="0" w:color="auto"/>
              </w:divBdr>
            </w:div>
          </w:divsChild>
        </w:div>
        <w:div w:id="1195459853">
          <w:marLeft w:val="0"/>
          <w:marRight w:val="0"/>
          <w:marTop w:val="0"/>
          <w:marBottom w:val="0"/>
          <w:divBdr>
            <w:top w:val="none" w:sz="0" w:space="0" w:color="auto"/>
            <w:left w:val="none" w:sz="0" w:space="0" w:color="auto"/>
            <w:bottom w:val="none" w:sz="0" w:space="0" w:color="auto"/>
            <w:right w:val="none" w:sz="0" w:space="0" w:color="auto"/>
          </w:divBdr>
          <w:divsChild>
            <w:div w:id="597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52517">
      <w:bodyDiv w:val="1"/>
      <w:marLeft w:val="0"/>
      <w:marRight w:val="0"/>
      <w:marTop w:val="0"/>
      <w:marBottom w:val="0"/>
      <w:divBdr>
        <w:top w:val="none" w:sz="0" w:space="0" w:color="auto"/>
        <w:left w:val="none" w:sz="0" w:space="0" w:color="auto"/>
        <w:bottom w:val="none" w:sz="0" w:space="0" w:color="auto"/>
        <w:right w:val="none" w:sz="0" w:space="0" w:color="auto"/>
      </w:divBdr>
    </w:div>
    <w:div w:id="364791889">
      <w:bodyDiv w:val="1"/>
      <w:marLeft w:val="0"/>
      <w:marRight w:val="0"/>
      <w:marTop w:val="0"/>
      <w:marBottom w:val="0"/>
      <w:divBdr>
        <w:top w:val="none" w:sz="0" w:space="0" w:color="auto"/>
        <w:left w:val="none" w:sz="0" w:space="0" w:color="auto"/>
        <w:bottom w:val="none" w:sz="0" w:space="0" w:color="auto"/>
        <w:right w:val="none" w:sz="0" w:space="0" w:color="auto"/>
      </w:divBdr>
    </w:div>
    <w:div w:id="366025329">
      <w:bodyDiv w:val="1"/>
      <w:marLeft w:val="0"/>
      <w:marRight w:val="0"/>
      <w:marTop w:val="0"/>
      <w:marBottom w:val="0"/>
      <w:divBdr>
        <w:top w:val="none" w:sz="0" w:space="0" w:color="auto"/>
        <w:left w:val="none" w:sz="0" w:space="0" w:color="auto"/>
        <w:bottom w:val="none" w:sz="0" w:space="0" w:color="auto"/>
        <w:right w:val="none" w:sz="0" w:space="0" w:color="auto"/>
      </w:divBdr>
    </w:div>
    <w:div w:id="370150729">
      <w:bodyDiv w:val="1"/>
      <w:marLeft w:val="0"/>
      <w:marRight w:val="0"/>
      <w:marTop w:val="0"/>
      <w:marBottom w:val="0"/>
      <w:divBdr>
        <w:top w:val="none" w:sz="0" w:space="0" w:color="auto"/>
        <w:left w:val="none" w:sz="0" w:space="0" w:color="auto"/>
        <w:bottom w:val="none" w:sz="0" w:space="0" w:color="auto"/>
        <w:right w:val="none" w:sz="0" w:space="0" w:color="auto"/>
      </w:divBdr>
      <w:divsChild>
        <w:div w:id="61879707">
          <w:marLeft w:val="0"/>
          <w:marRight w:val="0"/>
          <w:marTop w:val="0"/>
          <w:marBottom w:val="0"/>
          <w:divBdr>
            <w:top w:val="none" w:sz="0" w:space="0" w:color="auto"/>
            <w:left w:val="none" w:sz="0" w:space="0" w:color="auto"/>
            <w:bottom w:val="none" w:sz="0" w:space="0" w:color="auto"/>
            <w:right w:val="none" w:sz="0" w:space="0" w:color="auto"/>
          </w:divBdr>
          <w:divsChild>
            <w:div w:id="1610429811">
              <w:marLeft w:val="0"/>
              <w:marRight w:val="0"/>
              <w:marTop w:val="0"/>
              <w:marBottom w:val="0"/>
              <w:divBdr>
                <w:top w:val="none" w:sz="0" w:space="0" w:color="auto"/>
                <w:left w:val="none" w:sz="0" w:space="0" w:color="auto"/>
                <w:bottom w:val="none" w:sz="0" w:space="0" w:color="auto"/>
                <w:right w:val="none" w:sz="0" w:space="0" w:color="auto"/>
              </w:divBdr>
              <w:divsChild>
                <w:div w:id="1942685242">
                  <w:marLeft w:val="0"/>
                  <w:marRight w:val="0"/>
                  <w:marTop w:val="0"/>
                  <w:marBottom w:val="0"/>
                  <w:divBdr>
                    <w:top w:val="none" w:sz="0" w:space="0" w:color="auto"/>
                    <w:left w:val="none" w:sz="0" w:space="0" w:color="auto"/>
                    <w:bottom w:val="none" w:sz="0" w:space="0" w:color="auto"/>
                    <w:right w:val="none" w:sz="0" w:space="0" w:color="auto"/>
                  </w:divBdr>
                  <w:divsChild>
                    <w:div w:id="1954048561">
                      <w:marLeft w:val="-225"/>
                      <w:marRight w:val="-225"/>
                      <w:marTop w:val="0"/>
                      <w:marBottom w:val="0"/>
                      <w:divBdr>
                        <w:top w:val="none" w:sz="0" w:space="0" w:color="auto"/>
                        <w:left w:val="none" w:sz="0" w:space="0" w:color="auto"/>
                        <w:bottom w:val="none" w:sz="0" w:space="0" w:color="auto"/>
                        <w:right w:val="none" w:sz="0" w:space="0" w:color="auto"/>
                      </w:divBdr>
                      <w:divsChild>
                        <w:div w:id="36708000">
                          <w:marLeft w:val="0"/>
                          <w:marRight w:val="0"/>
                          <w:marTop w:val="0"/>
                          <w:marBottom w:val="0"/>
                          <w:divBdr>
                            <w:top w:val="none" w:sz="0" w:space="0" w:color="auto"/>
                            <w:left w:val="none" w:sz="0" w:space="0" w:color="auto"/>
                            <w:bottom w:val="none" w:sz="0" w:space="0" w:color="auto"/>
                            <w:right w:val="none" w:sz="0" w:space="0" w:color="auto"/>
                          </w:divBdr>
                          <w:divsChild>
                            <w:div w:id="676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675381">
      <w:bodyDiv w:val="1"/>
      <w:marLeft w:val="0"/>
      <w:marRight w:val="0"/>
      <w:marTop w:val="150"/>
      <w:marBottom w:val="150"/>
      <w:divBdr>
        <w:top w:val="none" w:sz="0" w:space="0" w:color="auto"/>
        <w:left w:val="none" w:sz="0" w:space="0" w:color="auto"/>
        <w:bottom w:val="none" w:sz="0" w:space="0" w:color="auto"/>
        <w:right w:val="none" w:sz="0" w:space="0" w:color="auto"/>
      </w:divBdr>
      <w:divsChild>
        <w:div w:id="1067924928">
          <w:marLeft w:val="0"/>
          <w:marRight w:val="0"/>
          <w:marTop w:val="0"/>
          <w:marBottom w:val="0"/>
          <w:divBdr>
            <w:top w:val="none" w:sz="0" w:space="0" w:color="auto"/>
            <w:left w:val="none" w:sz="0" w:space="0" w:color="auto"/>
            <w:bottom w:val="none" w:sz="0" w:space="0" w:color="auto"/>
            <w:right w:val="none" w:sz="0" w:space="0" w:color="auto"/>
          </w:divBdr>
          <w:divsChild>
            <w:div w:id="1667006444">
              <w:marLeft w:val="3720"/>
              <w:marRight w:val="0"/>
              <w:marTop w:val="0"/>
              <w:marBottom w:val="0"/>
              <w:divBdr>
                <w:top w:val="none" w:sz="0" w:space="0" w:color="auto"/>
                <w:left w:val="none" w:sz="0" w:space="0" w:color="auto"/>
                <w:bottom w:val="none" w:sz="0" w:space="0" w:color="auto"/>
                <w:right w:val="none" w:sz="0" w:space="0" w:color="auto"/>
              </w:divBdr>
              <w:divsChild>
                <w:div w:id="611938171">
                  <w:marLeft w:val="0"/>
                  <w:marRight w:val="0"/>
                  <w:marTop w:val="0"/>
                  <w:marBottom w:val="0"/>
                  <w:divBdr>
                    <w:top w:val="none" w:sz="0" w:space="0" w:color="auto"/>
                    <w:left w:val="none" w:sz="0" w:space="0" w:color="auto"/>
                    <w:bottom w:val="none" w:sz="0" w:space="0" w:color="auto"/>
                    <w:right w:val="none" w:sz="0" w:space="0" w:color="auto"/>
                  </w:divBdr>
                  <w:divsChild>
                    <w:div w:id="428431575">
                      <w:marLeft w:val="0"/>
                      <w:marRight w:val="0"/>
                      <w:marTop w:val="120"/>
                      <w:marBottom w:val="0"/>
                      <w:divBdr>
                        <w:top w:val="none" w:sz="0" w:space="0" w:color="auto"/>
                        <w:left w:val="none" w:sz="0" w:space="0" w:color="auto"/>
                        <w:bottom w:val="none" w:sz="0" w:space="0" w:color="auto"/>
                        <w:right w:val="none" w:sz="0" w:space="0" w:color="auto"/>
                      </w:divBdr>
                    </w:div>
                    <w:div w:id="13789691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92000356">
      <w:bodyDiv w:val="1"/>
      <w:marLeft w:val="0"/>
      <w:marRight w:val="0"/>
      <w:marTop w:val="0"/>
      <w:marBottom w:val="0"/>
      <w:divBdr>
        <w:top w:val="none" w:sz="0" w:space="0" w:color="auto"/>
        <w:left w:val="none" w:sz="0" w:space="0" w:color="auto"/>
        <w:bottom w:val="none" w:sz="0" w:space="0" w:color="auto"/>
        <w:right w:val="none" w:sz="0" w:space="0" w:color="auto"/>
      </w:divBdr>
    </w:div>
    <w:div w:id="417946379">
      <w:bodyDiv w:val="1"/>
      <w:marLeft w:val="0"/>
      <w:marRight w:val="0"/>
      <w:marTop w:val="0"/>
      <w:marBottom w:val="0"/>
      <w:divBdr>
        <w:top w:val="none" w:sz="0" w:space="0" w:color="auto"/>
        <w:left w:val="none" w:sz="0" w:space="0" w:color="auto"/>
        <w:bottom w:val="none" w:sz="0" w:space="0" w:color="auto"/>
        <w:right w:val="none" w:sz="0" w:space="0" w:color="auto"/>
      </w:divBdr>
    </w:div>
    <w:div w:id="427387867">
      <w:bodyDiv w:val="1"/>
      <w:marLeft w:val="0"/>
      <w:marRight w:val="0"/>
      <w:marTop w:val="0"/>
      <w:marBottom w:val="0"/>
      <w:divBdr>
        <w:top w:val="none" w:sz="0" w:space="0" w:color="auto"/>
        <w:left w:val="none" w:sz="0" w:space="0" w:color="auto"/>
        <w:bottom w:val="none" w:sz="0" w:space="0" w:color="auto"/>
        <w:right w:val="none" w:sz="0" w:space="0" w:color="auto"/>
      </w:divBdr>
      <w:divsChild>
        <w:div w:id="170532216">
          <w:marLeft w:val="0"/>
          <w:marRight w:val="0"/>
          <w:marTop w:val="0"/>
          <w:marBottom w:val="0"/>
          <w:divBdr>
            <w:top w:val="none" w:sz="0" w:space="0" w:color="auto"/>
            <w:left w:val="none" w:sz="0" w:space="0" w:color="auto"/>
            <w:bottom w:val="none" w:sz="0" w:space="0" w:color="auto"/>
            <w:right w:val="none" w:sz="0" w:space="0" w:color="auto"/>
          </w:divBdr>
          <w:divsChild>
            <w:div w:id="1509563594">
              <w:marLeft w:val="0"/>
              <w:marRight w:val="0"/>
              <w:marTop w:val="0"/>
              <w:marBottom w:val="0"/>
              <w:divBdr>
                <w:top w:val="none" w:sz="0" w:space="0" w:color="auto"/>
                <w:left w:val="none" w:sz="0" w:space="0" w:color="auto"/>
                <w:bottom w:val="none" w:sz="0" w:space="0" w:color="auto"/>
                <w:right w:val="none" w:sz="0" w:space="0" w:color="auto"/>
              </w:divBdr>
              <w:divsChild>
                <w:div w:id="855268794">
                  <w:marLeft w:val="-123"/>
                  <w:marRight w:val="-123"/>
                  <w:marTop w:val="0"/>
                  <w:marBottom w:val="480"/>
                  <w:divBdr>
                    <w:top w:val="none" w:sz="0" w:space="0" w:color="auto"/>
                    <w:left w:val="none" w:sz="0" w:space="0" w:color="auto"/>
                    <w:bottom w:val="none" w:sz="0" w:space="0" w:color="auto"/>
                    <w:right w:val="none" w:sz="0" w:space="0" w:color="auto"/>
                  </w:divBdr>
                  <w:divsChild>
                    <w:div w:id="1522746714">
                      <w:marLeft w:val="0"/>
                      <w:marRight w:val="0"/>
                      <w:marTop w:val="0"/>
                      <w:marBottom w:val="0"/>
                      <w:divBdr>
                        <w:top w:val="none" w:sz="0" w:space="0" w:color="auto"/>
                        <w:left w:val="none" w:sz="0" w:space="0" w:color="auto"/>
                        <w:bottom w:val="none" w:sz="0" w:space="0" w:color="auto"/>
                        <w:right w:val="none" w:sz="0" w:space="0" w:color="auto"/>
                      </w:divBdr>
                      <w:divsChild>
                        <w:div w:id="1037662432">
                          <w:marLeft w:val="0"/>
                          <w:marRight w:val="0"/>
                          <w:marTop w:val="0"/>
                          <w:marBottom w:val="0"/>
                          <w:divBdr>
                            <w:top w:val="none" w:sz="0" w:space="0" w:color="auto"/>
                            <w:left w:val="none" w:sz="0" w:space="0" w:color="auto"/>
                            <w:bottom w:val="none" w:sz="0" w:space="0" w:color="auto"/>
                            <w:right w:val="none" w:sz="0" w:space="0" w:color="auto"/>
                          </w:divBdr>
                          <w:divsChild>
                            <w:div w:id="18694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970">
      <w:bodyDiv w:val="1"/>
      <w:marLeft w:val="0"/>
      <w:marRight w:val="0"/>
      <w:marTop w:val="0"/>
      <w:marBottom w:val="0"/>
      <w:divBdr>
        <w:top w:val="none" w:sz="0" w:space="0" w:color="auto"/>
        <w:left w:val="none" w:sz="0" w:space="0" w:color="auto"/>
        <w:bottom w:val="none" w:sz="0" w:space="0" w:color="auto"/>
        <w:right w:val="none" w:sz="0" w:space="0" w:color="auto"/>
      </w:divBdr>
    </w:div>
    <w:div w:id="455412963">
      <w:bodyDiv w:val="1"/>
      <w:marLeft w:val="0"/>
      <w:marRight w:val="0"/>
      <w:marTop w:val="0"/>
      <w:marBottom w:val="0"/>
      <w:divBdr>
        <w:top w:val="none" w:sz="0" w:space="0" w:color="auto"/>
        <w:left w:val="none" w:sz="0" w:space="0" w:color="auto"/>
        <w:bottom w:val="none" w:sz="0" w:space="0" w:color="auto"/>
        <w:right w:val="none" w:sz="0" w:space="0" w:color="auto"/>
      </w:divBdr>
      <w:divsChild>
        <w:div w:id="657004690">
          <w:marLeft w:val="30"/>
          <w:marRight w:val="30"/>
          <w:marTop w:val="0"/>
          <w:marBottom w:val="0"/>
          <w:divBdr>
            <w:top w:val="none" w:sz="0" w:space="0" w:color="auto"/>
            <w:left w:val="none" w:sz="0" w:space="0" w:color="auto"/>
            <w:bottom w:val="none" w:sz="0" w:space="0" w:color="auto"/>
            <w:right w:val="none" w:sz="0" w:space="0" w:color="auto"/>
          </w:divBdr>
        </w:div>
      </w:divsChild>
    </w:div>
    <w:div w:id="472064951">
      <w:bodyDiv w:val="1"/>
      <w:marLeft w:val="0"/>
      <w:marRight w:val="0"/>
      <w:marTop w:val="0"/>
      <w:marBottom w:val="0"/>
      <w:divBdr>
        <w:top w:val="none" w:sz="0" w:space="0" w:color="auto"/>
        <w:left w:val="none" w:sz="0" w:space="0" w:color="auto"/>
        <w:bottom w:val="none" w:sz="0" w:space="0" w:color="auto"/>
        <w:right w:val="none" w:sz="0" w:space="0" w:color="auto"/>
      </w:divBdr>
    </w:div>
    <w:div w:id="485782317">
      <w:bodyDiv w:val="1"/>
      <w:marLeft w:val="0"/>
      <w:marRight w:val="0"/>
      <w:marTop w:val="0"/>
      <w:marBottom w:val="0"/>
      <w:divBdr>
        <w:top w:val="none" w:sz="0" w:space="0" w:color="auto"/>
        <w:left w:val="none" w:sz="0" w:space="0" w:color="auto"/>
        <w:bottom w:val="none" w:sz="0" w:space="0" w:color="auto"/>
        <w:right w:val="none" w:sz="0" w:space="0" w:color="auto"/>
      </w:divBdr>
      <w:divsChild>
        <w:div w:id="1876963315">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084032859">
                  <w:marLeft w:val="0"/>
                  <w:marRight w:val="0"/>
                  <w:marTop w:val="0"/>
                  <w:marBottom w:val="0"/>
                  <w:divBdr>
                    <w:top w:val="none" w:sz="0" w:space="0" w:color="auto"/>
                    <w:left w:val="none" w:sz="0" w:space="0" w:color="auto"/>
                    <w:bottom w:val="none" w:sz="0" w:space="0" w:color="auto"/>
                    <w:right w:val="none" w:sz="0" w:space="0" w:color="auto"/>
                  </w:divBdr>
                  <w:divsChild>
                    <w:div w:id="1877815845">
                      <w:marLeft w:val="-225"/>
                      <w:marRight w:val="-225"/>
                      <w:marTop w:val="0"/>
                      <w:marBottom w:val="0"/>
                      <w:divBdr>
                        <w:top w:val="none" w:sz="0" w:space="0" w:color="auto"/>
                        <w:left w:val="none" w:sz="0" w:space="0" w:color="auto"/>
                        <w:bottom w:val="none" w:sz="0" w:space="0" w:color="auto"/>
                        <w:right w:val="none" w:sz="0" w:space="0" w:color="auto"/>
                      </w:divBdr>
                      <w:divsChild>
                        <w:div w:id="105664283">
                          <w:marLeft w:val="0"/>
                          <w:marRight w:val="0"/>
                          <w:marTop w:val="0"/>
                          <w:marBottom w:val="0"/>
                          <w:divBdr>
                            <w:top w:val="none" w:sz="0" w:space="0" w:color="auto"/>
                            <w:left w:val="none" w:sz="0" w:space="0" w:color="auto"/>
                            <w:bottom w:val="none" w:sz="0" w:space="0" w:color="auto"/>
                            <w:right w:val="none" w:sz="0" w:space="0" w:color="auto"/>
                          </w:divBdr>
                          <w:divsChild>
                            <w:div w:id="13912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515">
      <w:bodyDiv w:val="1"/>
      <w:marLeft w:val="0"/>
      <w:marRight w:val="0"/>
      <w:marTop w:val="0"/>
      <w:marBottom w:val="0"/>
      <w:divBdr>
        <w:top w:val="none" w:sz="0" w:space="0" w:color="auto"/>
        <w:left w:val="none" w:sz="0" w:space="0" w:color="auto"/>
        <w:bottom w:val="none" w:sz="0" w:space="0" w:color="auto"/>
        <w:right w:val="none" w:sz="0" w:space="0" w:color="auto"/>
      </w:divBdr>
    </w:div>
    <w:div w:id="502817511">
      <w:bodyDiv w:val="1"/>
      <w:marLeft w:val="0"/>
      <w:marRight w:val="0"/>
      <w:marTop w:val="0"/>
      <w:marBottom w:val="0"/>
      <w:divBdr>
        <w:top w:val="none" w:sz="0" w:space="0" w:color="auto"/>
        <w:left w:val="none" w:sz="0" w:space="0" w:color="auto"/>
        <w:bottom w:val="none" w:sz="0" w:space="0" w:color="auto"/>
        <w:right w:val="none" w:sz="0" w:space="0" w:color="auto"/>
      </w:divBdr>
    </w:div>
    <w:div w:id="521550534">
      <w:bodyDiv w:val="1"/>
      <w:marLeft w:val="0"/>
      <w:marRight w:val="0"/>
      <w:marTop w:val="0"/>
      <w:marBottom w:val="0"/>
      <w:divBdr>
        <w:top w:val="none" w:sz="0" w:space="0" w:color="auto"/>
        <w:left w:val="none" w:sz="0" w:space="0" w:color="auto"/>
        <w:bottom w:val="none" w:sz="0" w:space="0" w:color="auto"/>
        <w:right w:val="none" w:sz="0" w:space="0" w:color="auto"/>
      </w:divBdr>
    </w:div>
    <w:div w:id="526792800">
      <w:bodyDiv w:val="1"/>
      <w:marLeft w:val="0"/>
      <w:marRight w:val="0"/>
      <w:marTop w:val="0"/>
      <w:marBottom w:val="0"/>
      <w:divBdr>
        <w:top w:val="none" w:sz="0" w:space="0" w:color="auto"/>
        <w:left w:val="none" w:sz="0" w:space="0" w:color="auto"/>
        <w:bottom w:val="none" w:sz="0" w:space="0" w:color="auto"/>
        <w:right w:val="none" w:sz="0" w:space="0" w:color="auto"/>
      </w:divBdr>
    </w:div>
    <w:div w:id="549417871">
      <w:bodyDiv w:val="1"/>
      <w:marLeft w:val="0"/>
      <w:marRight w:val="0"/>
      <w:marTop w:val="0"/>
      <w:marBottom w:val="0"/>
      <w:divBdr>
        <w:top w:val="none" w:sz="0" w:space="0" w:color="auto"/>
        <w:left w:val="none" w:sz="0" w:space="0" w:color="auto"/>
        <w:bottom w:val="none" w:sz="0" w:space="0" w:color="auto"/>
        <w:right w:val="none" w:sz="0" w:space="0" w:color="auto"/>
      </w:divBdr>
    </w:div>
    <w:div w:id="553079052">
      <w:bodyDiv w:val="1"/>
      <w:marLeft w:val="0"/>
      <w:marRight w:val="0"/>
      <w:marTop w:val="0"/>
      <w:marBottom w:val="0"/>
      <w:divBdr>
        <w:top w:val="none" w:sz="0" w:space="0" w:color="auto"/>
        <w:left w:val="none" w:sz="0" w:space="0" w:color="auto"/>
        <w:bottom w:val="none" w:sz="0" w:space="0" w:color="auto"/>
        <w:right w:val="none" w:sz="0" w:space="0" w:color="auto"/>
      </w:divBdr>
    </w:div>
    <w:div w:id="555706250">
      <w:bodyDiv w:val="1"/>
      <w:marLeft w:val="0"/>
      <w:marRight w:val="0"/>
      <w:marTop w:val="0"/>
      <w:marBottom w:val="0"/>
      <w:divBdr>
        <w:top w:val="none" w:sz="0" w:space="0" w:color="auto"/>
        <w:left w:val="none" w:sz="0" w:space="0" w:color="auto"/>
        <w:bottom w:val="none" w:sz="0" w:space="0" w:color="auto"/>
        <w:right w:val="none" w:sz="0" w:space="0" w:color="auto"/>
      </w:divBdr>
    </w:div>
    <w:div w:id="557983708">
      <w:bodyDiv w:val="1"/>
      <w:marLeft w:val="0"/>
      <w:marRight w:val="0"/>
      <w:marTop w:val="0"/>
      <w:marBottom w:val="0"/>
      <w:divBdr>
        <w:top w:val="none" w:sz="0" w:space="0" w:color="auto"/>
        <w:left w:val="none" w:sz="0" w:space="0" w:color="auto"/>
        <w:bottom w:val="none" w:sz="0" w:space="0" w:color="auto"/>
        <w:right w:val="none" w:sz="0" w:space="0" w:color="auto"/>
      </w:divBdr>
    </w:div>
    <w:div w:id="565260463">
      <w:bodyDiv w:val="1"/>
      <w:marLeft w:val="0"/>
      <w:marRight w:val="0"/>
      <w:marTop w:val="0"/>
      <w:marBottom w:val="0"/>
      <w:divBdr>
        <w:top w:val="none" w:sz="0" w:space="0" w:color="auto"/>
        <w:left w:val="none" w:sz="0" w:space="0" w:color="auto"/>
        <w:bottom w:val="none" w:sz="0" w:space="0" w:color="auto"/>
        <w:right w:val="none" w:sz="0" w:space="0" w:color="auto"/>
      </w:divBdr>
      <w:divsChild>
        <w:div w:id="217521770">
          <w:marLeft w:val="0"/>
          <w:marRight w:val="0"/>
          <w:marTop w:val="0"/>
          <w:marBottom w:val="0"/>
          <w:divBdr>
            <w:top w:val="none" w:sz="0" w:space="0" w:color="auto"/>
            <w:left w:val="none" w:sz="0" w:space="0" w:color="auto"/>
            <w:bottom w:val="none" w:sz="0" w:space="0" w:color="auto"/>
            <w:right w:val="none" w:sz="0" w:space="0" w:color="auto"/>
          </w:divBdr>
        </w:div>
        <w:div w:id="347491508">
          <w:marLeft w:val="0"/>
          <w:marRight w:val="0"/>
          <w:marTop w:val="0"/>
          <w:marBottom w:val="0"/>
          <w:divBdr>
            <w:top w:val="none" w:sz="0" w:space="0" w:color="auto"/>
            <w:left w:val="none" w:sz="0" w:space="0" w:color="auto"/>
            <w:bottom w:val="none" w:sz="0" w:space="0" w:color="auto"/>
            <w:right w:val="none" w:sz="0" w:space="0" w:color="auto"/>
          </w:divBdr>
        </w:div>
        <w:div w:id="579100059">
          <w:marLeft w:val="0"/>
          <w:marRight w:val="0"/>
          <w:marTop w:val="0"/>
          <w:marBottom w:val="0"/>
          <w:divBdr>
            <w:top w:val="none" w:sz="0" w:space="0" w:color="auto"/>
            <w:left w:val="none" w:sz="0" w:space="0" w:color="auto"/>
            <w:bottom w:val="none" w:sz="0" w:space="0" w:color="auto"/>
            <w:right w:val="none" w:sz="0" w:space="0" w:color="auto"/>
          </w:divBdr>
        </w:div>
        <w:div w:id="910774298">
          <w:marLeft w:val="0"/>
          <w:marRight w:val="0"/>
          <w:marTop w:val="0"/>
          <w:marBottom w:val="0"/>
          <w:divBdr>
            <w:top w:val="none" w:sz="0" w:space="0" w:color="auto"/>
            <w:left w:val="none" w:sz="0" w:space="0" w:color="auto"/>
            <w:bottom w:val="none" w:sz="0" w:space="0" w:color="auto"/>
            <w:right w:val="none" w:sz="0" w:space="0" w:color="auto"/>
          </w:divBdr>
        </w:div>
        <w:div w:id="1282348645">
          <w:marLeft w:val="0"/>
          <w:marRight w:val="0"/>
          <w:marTop w:val="0"/>
          <w:marBottom w:val="0"/>
          <w:divBdr>
            <w:top w:val="none" w:sz="0" w:space="0" w:color="auto"/>
            <w:left w:val="none" w:sz="0" w:space="0" w:color="auto"/>
            <w:bottom w:val="none" w:sz="0" w:space="0" w:color="auto"/>
            <w:right w:val="none" w:sz="0" w:space="0" w:color="auto"/>
          </w:divBdr>
        </w:div>
        <w:div w:id="1547645674">
          <w:marLeft w:val="0"/>
          <w:marRight w:val="0"/>
          <w:marTop w:val="0"/>
          <w:marBottom w:val="0"/>
          <w:divBdr>
            <w:top w:val="none" w:sz="0" w:space="0" w:color="auto"/>
            <w:left w:val="none" w:sz="0" w:space="0" w:color="auto"/>
            <w:bottom w:val="none" w:sz="0" w:space="0" w:color="auto"/>
            <w:right w:val="none" w:sz="0" w:space="0" w:color="auto"/>
          </w:divBdr>
        </w:div>
        <w:div w:id="1619289872">
          <w:marLeft w:val="0"/>
          <w:marRight w:val="0"/>
          <w:marTop w:val="0"/>
          <w:marBottom w:val="0"/>
          <w:divBdr>
            <w:top w:val="none" w:sz="0" w:space="0" w:color="auto"/>
            <w:left w:val="none" w:sz="0" w:space="0" w:color="auto"/>
            <w:bottom w:val="none" w:sz="0" w:space="0" w:color="auto"/>
            <w:right w:val="none" w:sz="0" w:space="0" w:color="auto"/>
          </w:divBdr>
        </w:div>
        <w:div w:id="2054502713">
          <w:marLeft w:val="0"/>
          <w:marRight w:val="0"/>
          <w:marTop w:val="0"/>
          <w:marBottom w:val="0"/>
          <w:divBdr>
            <w:top w:val="none" w:sz="0" w:space="0" w:color="auto"/>
            <w:left w:val="none" w:sz="0" w:space="0" w:color="auto"/>
            <w:bottom w:val="none" w:sz="0" w:space="0" w:color="auto"/>
            <w:right w:val="none" w:sz="0" w:space="0" w:color="auto"/>
          </w:divBdr>
        </w:div>
        <w:div w:id="2132049646">
          <w:marLeft w:val="0"/>
          <w:marRight w:val="0"/>
          <w:marTop w:val="0"/>
          <w:marBottom w:val="0"/>
          <w:divBdr>
            <w:top w:val="none" w:sz="0" w:space="0" w:color="auto"/>
            <w:left w:val="none" w:sz="0" w:space="0" w:color="auto"/>
            <w:bottom w:val="none" w:sz="0" w:space="0" w:color="auto"/>
            <w:right w:val="none" w:sz="0" w:space="0" w:color="auto"/>
          </w:divBdr>
        </w:div>
      </w:divsChild>
    </w:div>
    <w:div w:id="570775151">
      <w:bodyDiv w:val="1"/>
      <w:marLeft w:val="0"/>
      <w:marRight w:val="0"/>
      <w:marTop w:val="0"/>
      <w:marBottom w:val="0"/>
      <w:divBdr>
        <w:top w:val="none" w:sz="0" w:space="0" w:color="auto"/>
        <w:left w:val="none" w:sz="0" w:space="0" w:color="auto"/>
        <w:bottom w:val="none" w:sz="0" w:space="0" w:color="auto"/>
        <w:right w:val="none" w:sz="0" w:space="0" w:color="auto"/>
      </w:divBdr>
    </w:div>
    <w:div w:id="612522171">
      <w:bodyDiv w:val="1"/>
      <w:marLeft w:val="0"/>
      <w:marRight w:val="0"/>
      <w:marTop w:val="0"/>
      <w:marBottom w:val="0"/>
      <w:divBdr>
        <w:top w:val="none" w:sz="0" w:space="0" w:color="auto"/>
        <w:left w:val="none" w:sz="0" w:space="0" w:color="auto"/>
        <w:bottom w:val="none" w:sz="0" w:space="0" w:color="auto"/>
        <w:right w:val="none" w:sz="0" w:space="0" w:color="auto"/>
      </w:divBdr>
    </w:div>
    <w:div w:id="623777274">
      <w:bodyDiv w:val="1"/>
      <w:marLeft w:val="0"/>
      <w:marRight w:val="0"/>
      <w:marTop w:val="0"/>
      <w:marBottom w:val="0"/>
      <w:divBdr>
        <w:top w:val="none" w:sz="0" w:space="0" w:color="auto"/>
        <w:left w:val="none" w:sz="0" w:space="0" w:color="auto"/>
        <w:bottom w:val="none" w:sz="0" w:space="0" w:color="auto"/>
        <w:right w:val="none" w:sz="0" w:space="0" w:color="auto"/>
      </w:divBdr>
    </w:div>
    <w:div w:id="664238995">
      <w:bodyDiv w:val="1"/>
      <w:marLeft w:val="0"/>
      <w:marRight w:val="0"/>
      <w:marTop w:val="0"/>
      <w:marBottom w:val="0"/>
      <w:divBdr>
        <w:top w:val="none" w:sz="0" w:space="0" w:color="auto"/>
        <w:left w:val="none" w:sz="0" w:space="0" w:color="auto"/>
        <w:bottom w:val="none" w:sz="0" w:space="0" w:color="auto"/>
        <w:right w:val="none" w:sz="0" w:space="0" w:color="auto"/>
      </w:divBdr>
    </w:div>
    <w:div w:id="683937595">
      <w:bodyDiv w:val="1"/>
      <w:marLeft w:val="0"/>
      <w:marRight w:val="0"/>
      <w:marTop w:val="0"/>
      <w:marBottom w:val="0"/>
      <w:divBdr>
        <w:top w:val="none" w:sz="0" w:space="0" w:color="auto"/>
        <w:left w:val="none" w:sz="0" w:space="0" w:color="auto"/>
        <w:bottom w:val="none" w:sz="0" w:space="0" w:color="auto"/>
        <w:right w:val="none" w:sz="0" w:space="0" w:color="auto"/>
      </w:divBdr>
    </w:div>
    <w:div w:id="691226949">
      <w:bodyDiv w:val="1"/>
      <w:marLeft w:val="0"/>
      <w:marRight w:val="0"/>
      <w:marTop w:val="0"/>
      <w:marBottom w:val="0"/>
      <w:divBdr>
        <w:top w:val="none" w:sz="0" w:space="0" w:color="auto"/>
        <w:left w:val="none" w:sz="0" w:space="0" w:color="auto"/>
        <w:bottom w:val="none" w:sz="0" w:space="0" w:color="auto"/>
        <w:right w:val="none" w:sz="0" w:space="0" w:color="auto"/>
      </w:divBdr>
    </w:div>
    <w:div w:id="699664447">
      <w:bodyDiv w:val="1"/>
      <w:marLeft w:val="0"/>
      <w:marRight w:val="0"/>
      <w:marTop w:val="0"/>
      <w:marBottom w:val="0"/>
      <w:divBdr>
        <w:top w:val="none" w:sz="0" w:space="0" w:color="auto"/>
        <w:left w:val="none" w:sz="0" w:space="0" w:color="auto"/>
        <w:bottom w:val="none" w:sz="0" w:space="0" w:color="auto"/>
        <w:right w:val="none" w:sz="0" w:space="0" w:color="auto"/>
      </w:divBdr>
    </w:div>
    <w:div w:id="705561672">
      <w:bodyDiv w:val="1"/>
      <w:marLeft w:val="0"/>
      <w:marRight w:val="0"/>
      <w:marTop w:val="0"/>
      <w:marBottom w:val="0"/>
      <w:divBdr>
        <w:top w:val="none" w:sz="0" w:space="0" w:color="auto"/>
        <w:left w:val="none" w:sz="0" w:space="0" w:color="auto"/>
        <w:bottom w:val="none" w:sz="0" w:space="0" w:color="auto"/>
        <w:right w:val="none" w:sz="0" w:space="0" w:color="auto"/>
      </w:divBdr>
    </w:div>
    <w:div w:id="706296195">
      <w:bodyDiv w:val="1"/>
      <w:marLeft w:val="0"/>
      <w:marRight w:val="0"/>
      <w:marTop w:val="0"/>
      <w:marBottom w:val="0"/>
      <w:divBdr>
        <w:top w:val="none" w:sz="0" w:space="0" w:color="auto"/>
        <w:left w:val="none" w:sz="0" w:space="0" w:color="auto"/>
        <w:bottom w:val="none" w:sz="0" w:space="0" w:color="auto"/>
        <w:right w:val="none" w:sz="0" w:space="0" w:color="auto"/>
      </w:divBdr>
    </w:div>
    <w:div w:id="735476781">
      <w:bodyDiv w:val="1"/>
      <w:marLeft w:val="0"/>
      <w:marRight w:val="0"/>
      <w:marTop w:val="0"/>
      <w:marBottom w:val="0"/>
      <w:divBdr>
        <w:top w:val="none" w:sz="0" w:space="0" w:color="auto"/>
        <w:left w:val="none" w:sz="0" w:space="0" w:color="auto"/>
        <w:bottom w:val="none" w:sz="0" w:space="0" w:color="auto"/>
        <w:right w:val="none" w:sz="0" w:space="0" w:color="auto"/>
      </w:divBdr>
    </w:div>
    <w:div w:id="742217083">
      <w:bodyDiv w:val="1"/>
      <w:marLeft w:val="0"/>
      <w:marRight w:val="0"/>
      <w:marTop w:val="0"/>
      <w:marBottom w:val="0"/>
      <w:divBdr>
        <w:top w:val="none" w:sz="0" w:space="0" w:color="auto"/>
        <w:left w:val="none" w:sz="0" w:space="0" w:color="auto"/>
        <w:bottom w:val="none" w:sz="0" w:space="0" w:color="auto"/>
        <w:right w:val="none" w:sz="0" w:space="0" w:color="auto"/>
      </w:divBdr>
    </w:div>
    <w:div w:id="757482270">
      <w:bodyDiv w:val="1"/>
      <w:marLeft w:val="0"/>
      <w:marRight w:val="0"/>
      <w:marTop w:val="0"/>
      <w:marBottom w:val="0"/>
      <w:divBdr>
        <w:top w:val="none" w:sz="0" w:space="0" w:color="auto"/>
        <w:left w:val="none" w:sz="0" w:space="0" w:color="auto"/>
        <w:bottom w:val="none" w:sz="0" w:space="0" w:color="auto"/>
        <w:right w:val="none" w:sz="0" w:space="0" w:color="auto"/>
      </w:divBdr>
    </w:div>
    <w:div w:id="760250322">
      <w:bodyDiv w:val="1"/>
      <w:marLeft w:val="0"/>
      <w:marRight w:val="0"/>
      <w:marTop w:val="0"/>
      <w:marBottom w:val="0"/>
      <w:divBdr>
        <w:top w:val="none" w:sz="0" w:space="0" w:color="auto"/>
        <w:left w:val="none" w:sz="0" w:space="0" w:color="auto"/>
        <w:bottom w:val="none" w:sz="0" w:space="0" w:color="auto"/>
        <w:right w:val="none" w:sz="0" w:space="0" w:color="auto"/>
      </w:divBdr>
    </w:div>
    <w:div w:id="769274816">
      <w:bodyDiv w:val="1"/>
      <w:marLeft w:val="0"/>
      <w:marRight w:val="0"/>
      <w:marTop w:val="0"/>
      <w:marBottom w:val="0"/>
      <w:divBdr>
        <w:top w:val="none" w:sz="0" w:space="0" w:color="auto"/>
        <w:left w:val="none" w:sz="0" w:space="0" w:color="auto"/>
        <w:bottom w:val="none" w:sz="0" w:space="0" w:color="auto"/>
        <w:right w:val="none" w:sz="0" w:space="0" w:color="auto"/>
      </w:divBdr>
    </w:div>
    <w:div w:id="771170376">
      <w:bodyDiv w:val="1"/>
      <w:marLeft w:val="0"/>
      <w:marRight w:val="0"/>
      <w:marTop w:val="0"/>
      <w:marBottom w:val="0"/>
      <w:divBdr>
        <w:top w:val="none" w:sz="0" w:space="0" w:color="auto"/>
        <w:left w:val="none" w:sz="0" w:space="0" w:color="auto"/>
        <w:bottom w:val="none" w:sz="0" w:space="0" w:color="auto"/>
        <w:right w:val="none" w:sz="0" w:space="0" w:color="auto"/>
      </w:divBdr>
    </w:div>
    <w:div w:id="789012681">
      <w:bodyDiv w:val="1"/>
      <w:marLeft w:val="0"/>
      <w:marRight w:val="0"/>
      <w:marTop w:val="0"/>
      <w:marBottom w:val="0"/>
      <w:divBdr>
        <w:top w:val="none" w:sz="0" w:space="0" w:color="auto"/>
        <w:left w:val="none" w:sz="0" w:space="0" w:color="auto"/>
        <w:bottom w:val="none" w:sz="0" w:space="0" w:color="auto"/>
        <w:right w:val="none" w:sz="0" w:space="0" w:color="auto"/>
      </w:divBdr>
    </w:div>
    <w:div w:id="798374251">
      <w:bodyDiv w:val="1"/>
      <w:marLeft w:val="0"/>
      <w:marRight w:val="0"/>
      <w:marTop w:val="0"/>
      <w:marBottom w:val="0"/>
      <w:divBdr>
        <w:top w:val="none" w:sz="0" w:space="0" w:color="auto"/>
        <w:left w:val="none" w:sz="0" w:space="0" w:color="auto"/>
        <w:bottom w:val="none" w:sz="0" w:space="0" w:color="auto"/>
        <w:right w:val="none" w:sz="0" w:space="0" w:color="auto"/>
      </w:divBdr>
    </w:div>
    <w:div w:id="833184431">
      <w:bodyDiv w:val="1"/>
      <w:marLeft w:val="0"/>
      <w:marRight w:val="0"/>
      <w:marTop w:val="0"/>
      <w:marBottom w:val="0"/>
      <w:divBdr>
        <w:top w:val="none" w:sz="0" w:space="0" w:color="auto"/>
        <w:left w:val="none" w:sz="0" w:space="0" w:color="auto"/>
        <w:bottom w:val="none" w:sz="0" w:space="0" w:color="auto"/>
        <w:right w:val="none" w:sz="0" w:space="0" w:color="auto"/>
      </w:divBdr>
    </w:div>
    <w:div w:id="834997159">
      <w:bodyDiv w:val="1"/>
      <w:marLeft w:val="0"/>
      <w:marRight w:val="0"/>
      <w:marTop w:val="0"/>
      <w:marBottom w:val="0"/>
      <w:divBdr>
        <w:top w:val="none" w:sz="0" w:space="0" w:color="auto"/>
        <w:left w:val="none" w:sz="0" w:space="0" w:color="auto"/>
        <w:bottom w:val="none" w:sz="0" w:space="0" w:color="auto"/>
        <w:right w:val="none" w:sz="0" w:space="0" w:color="auto"/>
      </w:divBdr>
    </w:div>
    <w:div w:id="836113508">
      <w:bodyDiv w:val="1"/>
      <w:marLeft w:val="0"/>
      <w:marRight w:val="0"/>
      <w:marTop w:val="0"/>
      <w:marBottom w:val="0"/>
      <w:divBdr>
        <w:top w:val="none" w:sz="0" w:space="0" w:color="auto"/>
        <w:left w:val="none" w:sz="0" w:space="0" w:color="auto"/>
        <w:bottom w:val="none" w:sz="0" w:space="0" w:color="auto"/>
        <w:right w:val="none" w:sz="0" w:space="0" w:color="auto"/>
      </w:divBdr>
    </w:div>
    <w:div w:id="837116009">
      <w:bodyDiv w:val="1"/>
      <w:marLeft w:val="0"/>
      <w:marRight w:val="0"/>
      <w:marTop w:val="0"/>
      <w:marBottom w:val="0"/>
      <w:divBdr>
        <w:top w:val="none" w:sz="0" w:space="0" w:color="auto"/>
        <w:left w:val="none" w:sz="0" w:space="0" w:color="auto"/>
        <w:bottom w:val="none" w:sz="0" w:space="0" w:color="auto"/>
        <w:right w:val="none" w:sz="0" w:space="0" w:color="auto"/>
      </w:divBdr>
    </w:div>
    <w:div w:id="847403013">
      <w:bodyDiv w:val="1"/>
      <w:marLeft w:val="0"/>
      <w:marRight w:val="0"/>
      <w:marTop w:val="0"/>
      <w:marBottom w:val="0"/>
      <w:divBdr>
        <w:top w:val="none" w:sz="0" w:space="0" w:color="auto"/>
        <w:left w:val="none" w:sz="0" w:space="0" w:color="auto"/>
        <w:bottom w:val="none" w:sz="0" w:space="0" w:color="auto"/>
        <w:right w:val="none" w:sz="0" w:space="0" w:color="auto"/>
      </w:divBdr>
    </w:div>
    <w:div w:id="848758180">
      <w:bodyDiv w:val="1"/>
      <w:marLeft w:val="0"/>
      <w:marRight w:val="0"/>
      <w:marTop w:val="0"/>
      <w:marBottom w:val="0"/>
      <w:divBdr>
        <w:top w:val="none" w:sz="0" w:space="0" w:color="auto"/>
        <w:left w:val="none" w:sz="0" w:space="0" w:color="auto"/>
        <w:bottom w:val="none" w:sz="0" w:space="0" w:color="auto"/>
        <w:right w:val="none" w:sz="0" w:space="0" w:color="auto"/>
      </w:divBdr>
    </w:div>
    <w:div w:id="850339299">
      <w:bodyDiv w:val="1"/>
      <w:marLeft w:val="0"/>
      <w:marRight w:val="0"/>
      <w:marTop w:val="0"/>
      <w:marBottom w:val="0"/>
      <w:divBdr>
        <w:top w:val="none" w:sz="0" w:space="0" w:color="auto"/>
        <w:left w:val="none" w:sz="0" w:space="0" w:color="auto"/>
        <w:bottom w:val="none" w:sz="0" w:space="0" w:color="auto"/>
        <w:right w:val="none" w:sz="0" w:space="0" w:color="auto"/>
      </w:divBdr>
    </w:div>
    <w:div w:id="901215929">
      <w:bodyDiv w:val="1"/>
      <w:marLeft w:val="0"/>
      <w:marRight w:val="0"/>
      <w:marTop w:val="0"/>
      <w:marBottom w:val="0"/>
      <w:divBdr>
        <w:top w:val="none" w:sz="0" w:space="0" w:color="auto"/>
        <w:left w:val="none" w:sz="0" w:space="0" w:color="auto"/>
        <w:bottom w:val="none" w:sz="0" w:space="0" w:color="auto"/>
        <w:right w:val="none" w:sz="0" w:space="0" w:color="auto"/>
      </w:divBdr>
    </w:div>
    <w:div w:id="908612229">
      <w:bodyDiv w:val="1"/>
      <w:marLeft w:val="0"/>
      <w:marRight w:val="0"/>
      <w:marTop w:val="0"/>
      <w:marBottom w:val="0"/>
      <w:divBdr>
        <w:top w:val="none" w:sz="0" w:space="0" w:color="auto"/>
        <w:left w:val="none" w:sz="0" w:space="0" w:color="auto"/>
        <w:bottom w:val="none" w:sz="0" w:space="0" w:color="auto"/>
        <w:right w:val="none" w:sz="0" w:space="0" w:color="auto"/>
      </w:divBdr>
    </w:div>
    <w:div w:id="921992187">
      <w:bodyDiv w:val="1"/>
      <w:marLeft w:val="0"/>
      <w:marRight w:val="0"/>
      <w:marTop w:val="0"/>
      <w:marBottom w:val="0"/>
      <w:divBdr>
        <w:top w:val="none" w:sz="0" w:space="0" w:color="auto"/>
        <w:left w:val="none" w:sz="0" w:space="0" w:color="auto"/>
        <w:bottom w:val="none" w:sz="0" w:space="0" w:color="auto"/>
        <w:right w:val="none" w:sz="0" w:space="0" w:color="auto"/>
      </w:divBdr>
    </w:div>
    <w:div w:id="941031812">
      <w:bodyDiv w:val="1"/>
      <w:marLeft w:val="0"/>
      <w:marRight w:val="0"/>
      <w:marTop w:val="0"/>
      <w:marBottom w:val="0"/>
      <w:divBdr>
        <w:top w:val="none" w:sz="0" w:space="0" w:color="auto"/>
        <w:left w:val="none" w:sz="0" w:space="0" w:color="auto"/>
        <w:bottom w:val="none" w:sz="0" w:space="0" w:color="auto"/>
        <w:right w:val="none" w:sz="0" w:space="0" w:color="auto"/>
      </w:divBdr>
    </w:div>
    <w:div w:id="953712113">
      <w:bodyDiv w:val="1"/>
      <w:marLeft w:val="0"/>
      <w:marRight w:val="0"/>
      <w:marTop w:val="0"/>
      <w:marBottom w:val="0"/>
      <w:divBdr>
        <w:top w:val="none" w:sz="0" w:space="0" w:color="auto"/>
        <w:left w:val="none" w:sz="0" w:space="0" w:color="auto"/>
        <w:bottom w:val="none" w:sz="0" w:space="0" w:color="auto"/>
        <w:right w:val="none" w:sz="0" w:space="0" w:color="auto"/>
      </w:divBdr>
    </w:div>
    <w:div w:id="971860530">
      <w:bodyDiv w:val="1"/>
      <w:marLeft w:val="0"/>
      <w:marRight w:val="0"/>
      <w:marTop w:val="0"/>
      <w:marBottom w:val="0"/>
      <w:divBdr>
        <w:top w:val="none" w:sz="0" w:space="0" w:color="auto"/>
        <w:left w:val="none" w:sz="0" w:space="0" w:color="auto"/>
        <w:bottom w:val="none" w:sz="0" w:space="0" w:color="auto"/>
        <w:right w:val="none" w:sz="0" w:space="0" w:color="auto"/>
      </w:divBdr>
    </w:div>
    <w:div w:id="979383355">
      <w:bodyDiv w:val="1"/>
      <w:marLeft w:val="0"/>
      <w:marRight w:val="0"/>
      <w:marTop w:val="0"/>
      <w:marBottom w:val="0"/>
      <w:divBdr>
        <w:top w:val="none" w:sz="0" w:space="0" w:color="auto"/>
        <w:left w:val="none" w:sz="0" w:space="0" w:color="auto"/>
        <w:bottom w:val="none" w:sz="0" w:space="0" w:color="auto"/>
        <w:right w:val="none" w:sz="0" w:space="0" w:color="auto"/>
      </w:divBdr>
    </w:div>
    <w:div w:id="991182975">
      <w:bodyDiv w:val="1"/>
      <w:marLeft w:val="0"/>
      <w:marRight w:val="0"/>
      <w:marTop w:val="0"/>
      <w:marBottom w:val="0"/>
      <w:divBdr>
        <w:top w:val="none" w:sz="0" w:space="0" w:color="auto"/>
        <w:left w:val="none" w:sz="0" w:space="0" w:color="auto"/>
        <w:bottom w:val="none" w:sz="0" w:space="0" w:color="auto"/>
        <w:right w:val="none" w:sz="0" w:space="0" w:color="auto"/>
      </w:divBdr>
    </w:div>
    <w:div w:id="999962700">
      <w:bodyDiv w:val="1"/>
      <w:marLeft w:val="0"/>
      <w:marRight w:val="0"/>
      <w:marTop w:val="0"/>
      <w:marBottom w:val="0"/>
      <w:divBdr>
        <w:top w:val="none" w:sz="0" w:space="0" w:color="auto"/>
        <w:left w:val="none" w:sz="0" w:space="0" w:color="auto"/>
        <w:bottom w:val="none" w:sz="0" w:space="0" w:color="auto"/>
        <w:right w:val="none" w:sz="0" w:space="0" w:color="auto"/>
      </w:divBdr>
    </w:div>
    <w:div w:id="1023020993">
      <w:bodyDiv w:val="1"/>
      <w:marLeft w:val="0"/>
      <w:marRight w:val="0"/>
      <w:marTop w:val="0"/>
      <w:marBottom w:val="0"/>
      <w:divBdr>
        <w:top w:val="none" w:sz="0" w:space="0" w:color="auto"/>
        <w:left w:val="none" w:sz="0" w:space="0" w:color="auto"/>
        <w:bottom w:val="none" w:sz="0" w:space="0" w:color="auto"/>
        <w:right w:val="none" w:sz="0" w:space="0" w:color="auto"/>
      </w:divBdr>
    </w:div>
    <w:div w:id="1040861643">
      <w:bodyDiv w:val="1"/>
      <w:marLeft w:val="0"/>
      <w:marRight w:val="0"/>
      <w:marTop w:val="0"/>
      <w:marBottom w:val="0"/>
      <w:divBdr>
        <w:top w:val="none" w:sz="0" w:space="0" w:color="auto"/>
        <w:left w:val="none" w:sz="0" w:space="0" w:color="auto"/>
        <w:bottom w:val="none" w:sz="0" w:space="0" w:color="auto"/>
        <w:right w:val="none" w:sz="0" w:space="0" w:color="auto"/>
      </w:divBdr>
      <w:divsChild>
        <w:div w:id="665788977">
          <w:marLeft w:val="0"/>
          <w:marRight w:val="0"/>
          <w:marTop w:val="0"/>
          <w:marBottom w:val="0"/>
          <w:divBdr>
            <w:top w:val="none" w:sz="0" w:space="0" w:color="auto"/>
            <w:left w:val="none" w:sz="0" w:space="0" w:color="auto"/>
            <w:bottom w:val="none" w:sz="0" w:space="0" w:color="auto"/>
            <w:right w:val="none" w:sz="0" w:space="0" w:color="auto"/>
          </w:divBdr>
          <w:divsChild>
            <w:div w:id="1429346520">
              <w:marLeft w:val="0"/>
              <w:marRight w:val="0"/>
              <w:marTop w:val="0"/>
              <w:marBottom w:val="0"/>
              <w:divBdr>
                <w:top w:val="none" w:sz="0" w:space="0" w:color="auto"/>
                <w:left w:val="none" w:sz="0" w:space="0" w:color="auto"/>
                <w:bottom w:val="none" w:sz="0" w:space="0" w:color="auto"/>
                <w:right w:val="none" w:sz="0" w:space="0" w:color="auto"/>
              </w:divBdr>
              <w:divsChild>
                <w:div w:id="353459272">
                  <w:marLeft w:val="0"/>
                  <w:marRight w:val="0"/>
                  <w:marTop w:val="0"/>
                  <w:marBottom w:val="0"/>
                  <w:divBdr>
                    <w:top w:val="none" w:sz="0" w:space="0" w:color="auto"/>
                    <w:left w:val="none" w:sz="0" w:space="0" w:color="auto"/>
                    <w:bottom w:val="none" w:sz="0" w:space="0" w:color="auto"/>
                    <w:right w:val="none" w:sz="0" w:space="0" w:color="auto"/>
                  </w:divBdr>
                  <w:divsChild>
                    <w:div w:id="946693815">
                      <w:marLeft w:val="-225"/>
                      <w:marRight w:val="-225"/>
                      <w:marTop w:val="0"/>
                      <w:marBottom w:val="0"/>
                      <w:divBdr>
                        <w:top w:val="none" w:sz="0" w:space="0" w:color="auto"/>
                        <w:left w:val="none" w:sz="0" w:space="0" w:color="auto"/>
                        <w:bottom w:val="none" w:sz="0" w:space="0" w:color="auto"/>
                        <w:right w:val="none" w:sz="0" w:space="0" w:color="auto"/>
                      </w:divBdr>
                      <w:divsChild>
                        <w:div w:id="1753887585">
                          <w:marLeft w:val="0"/>
                          <w:marRight w:val="0"/>
                          <w:marTop w:val="0"/>
                          <w:marBottom w:val="0"/>
                          <w:divBdr>
                            <w:top w:val="none" w:sz="0" w:space="0" w:color="auto"/>
                            <w:left w:val="none" w:sz="0" w:space="0" w:color="auto"/>
                            <w:bottom w:val="none" w:sz="0" w:space="0" w:color="auto"/>
                            <w:right w:val="none" w:sz="0" w:space="0" w:color="auto"/>
                          </w:divBdr>
                          <w:divsChild>
                            <w:div w:id="15434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1939">
      <w:bodyDiv w:val="1"/>
      <w:marLeft w:val="0"/>
      <w:marRight w:val="0"/>
      <w:marTop w:val="0"/>
      <w:marBottom w:val="0"/>
      <w:divBdr>
        <w:top w:val="none" w:sz="0" w:space="0" w:color="auto"/>
        <w:left w:val="none" w:sz="0" w:space="0" w:color="auto"/>
        <w:bottom w:val="none" w:sz="0" w:space="0" w:color="auto"/>
        <w:right w:val="none" w:sz="0" w:space="0" w:color="auto"/>
      </w:divBdr>
    </w:div>
    <w:div w:id="1093434285">
      <w:bodyDiv w:val="1"/>
      <w:marLeft w:val="0"/>
      <w:marRight w:val="0"/>
      <w:marTop w:val="0"/>
      <w:marBottom w:val="0"/>
      <w:divBdr>
        <w:top w:val="none" w:sz="0" w:space="0" w:color="auto"/>
        <w:left w:val="none" w:sz="0" w:space="0" w:color="auto"/>
        <w:bottom w:val="none" w:sz="0" w:space="0" w:color="auto"/>
        <w:right w:val="none" w:sz="0" w:space="0" w:color="auto"/>
      </w:divBdr>
    </w:div>
    <w:div w:id="1103497024">
      <w:bodyDiv w:val="1"/>
      <w:marLeft w:val="0"/>
      <w:marRight w:val="0"/>
      <w:marTop w:val="0"/>
      <w:marBottom w:val="0"/>
      <w:divBdr>
        <w:top w:val="none" w:sz="0" w:space="0" w:color="auto"/>
        <w:left w:val="none" w:sz="0" w:space="0" w:color="auto"/>
        <w:bottom w:val="none" w:sz="0" w:space="0" w:color="auto"/>
        <w:right w:val="none" w:sz="0" w:space="0" w:color="auto"/>
      </w:divBdr>
    </w:div>
    <w:div w:id="1116635094">
      <w:bodyDiv w:val="1"/>
      <w:marLeft w:val="0"/>
      <w:marRight w:val="0"/>
      <w:marTop w:val="0"/>
      <w:marBottom w:val="0"/>
      <w:divBdr>
        <w:top w:val="none" w:sz="0" w:space="0" w:color="auto"/>
        <w:left w:val="none" w:sz="0" w:space="0" w:color="auto"/>
        <w:bottom w:val="none" w:sz="0" w:space="0" w:color="auto"/>
        <w:right w:val="none" w:sz="0" w:space="0" w:color="auto"/>
      </w:divBdr>
    </w:div>
    <w:div w:id="1130636653">
      <w:bodyDiv w:val="1"/>
      <w:marLeft w:val="0"/>
      <w:marRight w:val="0"/>
      <w:marTop w:val="0"/>
      <w:marBottom w:val="0"/>
      <w:divBdr>
        <w:top w:val="none" w:sz="0" w:space="0" w:color="auto"/>
        <w:left w:val="none" w:sz="0" w:space="0" w:color="auto"/>
        <w:bottom w:val="none" w:sz="0" w:space="0" w:color="auto"/>
        <w:right w:val="none" w:sz="0" w:space="0" w:color="auto"/>
      </w:divBdr>
      <w:divsChild>
        <w:div w:id="1147741546">
          <w:marLeft w:val="0"/>
          <w:marRight w:val="0"/>
          <w:marTop w:val="0"/>
          <w:marBottom w:val="0"/>
          <w:divBdr>
            <w:top w:val="none" w:sz="0" w:space="0" w:color="auto"/>
            <w:left w:val="none" w:sz="0" w:space="0" w:color="auto"/>
            <w:bottom w:val="none" w:sz="0" w:space="0" w:color="auto"/>
            <w:right w:val="none" w:sz="0" w:space="0" w:color="auto"/>
          </w:divBdr>
          <w:divsChild>
            <w:div w:id="1627657306">
              <w:marLeft w:val="0"/>
              <w:marRight w:val="0"/>
              <w:marTop w:val="0"/>
              <w:marBottom w:val="0"/>
              <w:divBdr>
                <w:top w:val="none" w:sz="0" w:space="0" w:color="auto"/>
                <w:left w:val="none" w:sz="0" w:space="0" w:color="auto"/>
                <w:bottom w:val="none" w:sz="0" w:space="0" w:color="auto"/>
                <w:right w:val="none" w:sz="0" w:space="0" w:color="auto"/>
              </w:divBdr>
            </w:div>
          </w:divsChild>
        </w:div>
        <w:div w:id="524368585">
          <w:marLeft w:val="0"/>
          <w:marRight w:val="0"/>
          <w:marTop w:val="0"/>
          <w:marBottom w:val="0"/>
          <w:divBdr>
            <w:top w:val="none" w:sz="0" w:space="0" w:color="auto"/>
            <w:left w:val="none" w:sz="0" w:space="0" w:color="auto"/>
            <w:bottom w:val="none" w:sz="0" w:space="0" w:color="auto"/>
            <w:right w:val="none" w:sz="0" w:space="0" w:color="auto"/>
          </w:divBdr>
          <w:divsChild>
            <w:div w:id="1252737029">
              <w:marLeft w:val="0"/>
              <w:marRight w:val="0"/>
              <w:marTop w:val="0"/>
              <w:marBottom w:val="0"/>
              <w:divBdr>
                <w:top w:val="none" w:sz="0" w:space="0" w:color="auto"/>
                <w:left w:val="none" w:sz="0" w:space="0" w:color="auto"/>
                <w:bottom w:val="none" w:sz="0" w:space="0" w:color="auto"/>
                <w:right w:val="none" w:sz="0" w:space="0" w:color="auto"/>
              </w:divBdr>
            </w:div>
          </w:divsChild>
        </w:div>
        <w:div w:id="453409097">
          <w:marLeft w:val="0"/>
          <w:marRight w:val="0"/>
          <w:marTop w:val="0"/>
          <w:marBottom w:val="0"/>
          <w:divBdr>
            <w:top w:val="none" w:sz="0" w:space="0" w:color="auto"/>
            <w:left w:val="none" w:sz="0" w:space="0" w:color="auto"/>
            <w:bottom w:val="none" w:sz="0" w:space="0" w:color="auto"/>
            <w:right w:val="none" w:sz="0" w:space="0" w:color="auto"/>
          </w:divBdr>
          <w:divsChild>
            <w:div w:id="983392243">
              <w:marLeft w:val="0"/>
              <w:marRight w:val="0"/>
              <w:marTop w:val="0"/>
              <w:marBottom w:val="0"/>
              <w:divBdr>
                <w:top w:val="none" w:sz="0" w:space="0" w:color="auto"/>
                <w:left w:val="none" w:sz="0" w:space="0" w:color="auto"/>
                <w:bottom w:val="none" w:sz="0" w:space="0" w:color="auto"/>
                <w:right w:val="none" w:sz="0" w:space="0" w:color="auto"/>
              </w:divBdr>
            </w:div>
          </w:divsChild>
        </w:div>
        <w:div w:id="1341393799">
          <w:marLeft w:val="0"/>
          <w:marRight w:val="0"/>
          <w:marTop w:val="0"/>
          <w:marBottom w:val="0"/>
          <w:divBdr>
            <w:top w:val="none" w:sz="0" w:space="0" w:color="auto"/>
            <w:left w:val="none" w:sz="0" w:space="0" w:color="auto"/>
            <w:bottom w:val="none" w:sz="0" w:space="0" w:color="auto"/>
            <w:right w:val="none" w:sz="0" w:space="0" w:color="auto"/>
          </w:divBdr>
          <w:divsChild>
            <w:div w:id="7342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0723">
      <w:bodyDiv w:val="1"/>
      <w:marLeft w:val="0"/>
      <w:marRight w:val="0"/>
      <w:marTop w:val="0"/>
      <w:marBottom w:val="0"/>
      <w:divBdr>
        <w:top w:val="none" w:sz="0" w:space="0" w:color="auto"/>
        <w:left w:val="none" w:sz="0" w:space="0" w:color="auto"/>
        <w:bottom w:val="none" w:sz="0" w:space="0" w:color="auto"/>
        <w:right w:val="none" w:sz="0" w:space="0" w:color="auto"/>
      </w:divBdr>
    </w:div>
    <w:div w:id="1156216532">
      <w:bodyDiv w:val="1"/>
      <w:marLeft w:val="0"/>
      <w:marRight w:val="0"/>
      <w:marTop w:val="0"/>
      <w:marBottom w:val="0"/>
      <w:divBdr>
        <w:top w:val="none" w:sz="0" w:space="0" w:color="auto"/>
        <w:left w:val="none" w:sz="0" w:space="0" w:color="auto"/>
        <w:bottom w:val="none" w:sz="0" w:space="0" w:color="auto"/>
        <w:right w:val="none" w:sz="0" w:space="0" w:color="auto"/>
      </w:divBdr>
    </w:div>
    <w:div w:id="1179810569">
      <w:bodyDiv w:val="1"/>
      <w:marLeft w:val="0"/>
      <w:marRight w:val="0"/>
      <w:marTop w:val="0"/>
      <w:marBottom w:val="0"/>
      <w:divBdr>
        <w:top w:val="none" w:sz="0" w:space="0" w:color="auto"/>
        <w:left w:val="none" w:sz="0" w:space="0" w:color="auto"/>
        <w:bottom w:val="none" w:sz="0" w:space="0" w:color="auto"/>
        <w:right w:val="none" w:sz="0" w:space="0" w:color="auto"/>
      </w:divBdr>
    </w:div>
    <w:div w:id="1188369653">
      <w:bodyDiv w:val="1"/>
      <w:marLeft w:val="0"/>
      <w:marRight w:val="0"/>
      <w:marTop w:val="0"/>
      <w:marBottom w:val="0"/>
      <w:divBdr>
        <w:top w:val="none" w:sz="0" w:space="0" w:color="auto"/>
        <w:left w:val="none" w:sz="0" w:space="0" w:color="auto"/>
        <w:bottom w:val="none" w:sz="0" w:space="0" w:color="auto"/>
        <w:right w:val="none" w:sz="0" w:space="0" w:color="auto"/>
      </w:divBdr>
      <w:divsChild>
        <w:div w:id="1491409700">
          <w:marLeft w:val="41"/>
          <w:marRight w:val="41"/>
          <w:marTop w:val="0"/>
          <w:marBottom w:val="0"/>
          <w:divBdr>
            <w:top w:val="none" w:sz="0" w:space="0" w:color="auto"/>
            <w:left w:val="none" w:sz="0" w:space="0" w:color="auto"/>
            <w:bottom w:val="none" w:sz="0" w:space="0" w:color="auto"/>
            <w:right w:val="none" w:sz="0" w:space="0" w:color="auto"/>
          </w:divBdr>
          <w:divsChild>
            <w:div w:id="1133330198">
              <w:marLeft w:val="0"/>
              <w:marRight w:val="0"/>
              <w:marTop w:val="0"/>
              <w:marBottom w:val="57"/>
              <w:divBdr>
                <w:top w:val="none" w:sz="0" w:space="0" w:color="auto"/>
                <w:left w:val="none" w:sz="0" w:space="0" w:color="auto"/>
                <w:bottom w:val="none" w:sz="0" w:space="0" w:color="auto"/>
                <w:right w:val="none" w:sz="0" w:space="0" w:color="auto"/>
              </w:divBdr>
            </w:div>
          </w:divsChild>
        </w:div>
      </w:divsChild>
    </w:div>
    <w:div w:id="1194221642">
      <w:bodyDiv w:val="1"/>
      <w:marLeft w:val="0"/>
      <w:marRight w:val="0"/>
      <w:marTop w:val="0"/>
      <w:marBottom w:val="0"/>
      <w:divBdr>
        <w:top w:val="none" w:sz="0" w:space="0" w:color="auto"/>
        <w:left w:val="none" w:sz="0" w:space="0" w:color="auto"/>
        <w:bottom w:val="none" w:sz="0" w:space="0" w:color="auto"/>
        <w:right w:val="none" w:sz="0" w:space="0" w:color="auto"/>
      </w:divBdr>
      <w:divsChild>
        <w:div w:id="2026861988">
          <w:marLeft w:val="0"/>
          <w:marRight w:val="0"/>
          <w:marTop w:val="0"/>
          <w:marBottom w:val="0"/>
          <w:divBdr>
            <w:top w:val="none" w:sz="0" w:space="0" w:color="auto"/>
            <w:left w:val="none" w:sz="0" w:space="0" w:color="auto"/>
            <w:bottom w:val="none" w:sz="0" w:space="0" w:color="auto"/>
            <w:right w:val="none" w:sz="0" w:space="0" w:color="auto"/>
          </w:divBdr>
          <w:divsChild>
            <w:div w:id="23672836">
              <w:marLeft w:val="0"/>
              <w:marRight w:val="0"/>
              <w:marTop w:val="0"/>
              <w:marBottom w:val="0"/>
              <w:divBdr>
                <w:top w:val="none" w:sz="0" w:space="0" w:color="auto"/>
                <w:left w:val="none" w:sz="0" w:space="0" w:color="auto"/>
                <w:bottom w:val="none" w:sz="0" w:space="0" w:color="auto"/>
                <w:right w:val="none" w:sz="0" w:space="0" w:color="auto"/>
              </w:divBdr>
              <w:divsChild>
                <w:div w:id="490483255">
                  <w:marLeft w:val="0"/>
                  <w:marRight w:val="0"/>
                  <w:marTop w:val="0"/>
                  <w:marBottom w:val="0"/>
                  <w:divBdr>
                    <w:top w:val="none" w:sz="0" w:space="0" w:color="auto"/>
                    <w:left w:val="none" w:sz="0" w:space="0" w:color="auto"/>
                    <w:bottom w:val="none" w:sz="0" w:space="0" w:color="auto"/>
                    <w:right w:val="none" w:sz="0" w:space="0" w:color="auto"/>
                  </w:divBdr>
                  <w:divsChild>
                    <w:div w:id="2072069849">
                      <w:marLeft w:val="-225"/>
                      <w:marRight w:val="-225"/>
                      <w:marTop w:val="0"/>
                      <w:marBottom w:val="0"/>
                      <w:divBdr>
                        <w:top w:val="none" w:sz="0" w:space="0" w:color="auto"/>
                        <w:left w:val="none" w:sz="0" w:space="0" w:color="auto"/>
                        <w:bottom w:val="none" w:sz="0" w:space="0" w:color="auto"/>
                        <w:right w:val="none" w:sz="0" w:space="0" w:color="auto"/>
                      </w:divBdr>
                      <w:divsChild>
                        <w:div w:id="1017081333">
                          <w:marLeft w:val="0"/>
                          <w:marRight w:val="0"/>
                          <w:marTop w:val="0"/>
                          <w:marBottom w:val="0"/>
                          <w:divBdr>
                            <w:top w:val="none" w:sz="0" w:space="0" w:color="auto"/>
                            <w:left w:val="none" w:sz="0" w:space="0" w:color="auto"/>
                            <w:bottom w:val="none" w:sz="0" w:space="0" w:color="auto"/>
                            <w:right w:val="none" w:sz="0" w:space="0" w:color="auto"/>
                          </w:divBdr>
                          <w:divsChild>
                            <w:div w:id="17808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73535">
      <w:bodyDiv w:val="1"/>
      <w:marLeft w:val="0"/>
      <w:marRight w:val="0"/>
      <w:marTop w:val="0"/>
      <w:marBottom w:val="0"/>
      <w:divBdr>
        <w:top w:val="none" w:sz="0" w:space="0" w:color="auto"/>
        <w:left w:val="none" w:sz="0" w:space="0" w:color="auto"/>
        <w:bottom w:val="none" w:sz="0" w:space="0" w:color="auto"/>
        <w:right w:val="none" w:sz="0" w:space="0" w:color="auto"/>
      </w:divBdr>
      <w:divsChild>
        <w:div w:id="587151736">
          <w:marLeft w:val="0"/>
          <w:marRight w:val="0"/>
          <w:marTop w:val="0"/>
          <w:marBottom w:val="0"/>
          <w:divBdr>
            <w:top w:val="none" w:sz="0" w:space="0" w:color="auto"/>
            <w:left w:val="none" w:sz="0" w:space="0" w:color="auto"/>
            <w:bottom w:val="none" w:sz="0" w:space="0" w:color="auto"/>
            <w:right w:val="none" w:sz="0" w:space="0" w:color="auto"/>
          </w:divBdr>
          <w:divsChild>
            <w:div w:id="592401732">
              <w:marLeft w:val="0"/>
              <w:marRight w:val="0"/>
              <w:marTop w:val="0"/>
              <w:marBottom w:val="0"/>
              <w:divBdr>
                <w:top w:val="none" w:sz="0" w:space="0" w:color="auto"/>
                <w:left w:val="none" w:sz="0" w:space="0" w:color="auto"/>
                <w:bottom w:val="none" w:sz="0" w:space="0" w:color="auto"/>
                <w:right w:val="none" w:sz="0" w:space="0" w:color="auto"/>
              </w:divBdr>
              <w:divsChild>
                <w:div w:id="202599709">
                  <w:marLeft w:val="0"/>
                  <w:marRight w:val="0"/>
                  <w:marTop w:val="0"/>
                  <w:marBottom w:val="0"/>
                  <w:divBdr>
                    <w:top w:val="none" w:sz="0" w:space="0" w:color="auto"/>
                    <w:left w:val="none" w:sz="0" w:space="0" w:color="auto"/>
                    <w:bottom w:val="none" w:sz="0" w:space="0" w:color="auto"/>
                    <w:right w:val="none" w:sz="0" w:space="0" w:color="auto"/>
                  </w:divBdr>
                  <w:divsChild>
                    <w:div w:id="420490620">
                      <w:marLeft w:val="0"/>
                      <w:marRight w:val="0"/>
                      <w:marTop w:val="0"/>
                      <w:marBottom w:val="0"/>
                      <w:divBdr>
                        <w:top w:val="none" w:sz="0" w:space="0" w:color="auto"/>
                        <w:left w:val="none" w:sz="0" w:space="0" w:color="auto"/>
                        <w:bottom w:val="none" w:sz="0" w:space="0" w:color="auto"/>
                        <w:right w:val="none" w:sz="0" w:space="0" w:color="auto"/>
                      </w:divBdr>
                      <w:divsChild>
                        <w:div w:id="8665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99181">
      <w:bodyDiv w:val="1"/>
      <w:marLeft w:val="0"/>
      <w:marRight w:val="0"/>
      <w:marTop w:val="0"/>
      <w:marBottom w:val="0"/>
      <w:divBdr>
        <w:top w:val="none" w:sz="0" w:space="0" w:color="auto"/>
        <w:left w:val="none" w:sz="0" w:space="0" w:color="auto"/>
        <w:bottom w:val="none" w:sz="0" w:space="0" w:color="auto"/>
        <w:right w:val="none" w:sz="0" w:space="0" w:color="auto"/>
      </w:divBdr>
    </w:div>
    <w:div w:id="1219976606">
      <w:bodyDiv w:val="1"/>
      <w:marLeft w:val="0"/>
      <w:marRight w:val="0"/>
      <w:marTop w:val="0"/>
      <w:marBottom w:val="0"/>
      <w:divBdr>
        <w:top w:val="none" w:sz="0" w:space="0" w:color="auto"/>
        <w:left w:val="none" w:sz="0" w:space="0" w:color="auto"/>
        <w:bottom w:val="none" w:sz="0" w:space="0" w:color="auto"/>
        <w:right w:val="none" w:sz="0" w:space="0" w:color="auto"/>
      </w:divBdr>
    </w:div>
    <w:div w:id="1229654284">
      <w:bodyDiv w:val="1"/>
      <w:marLeft w:val="0"/>
      <w:marRight w:val="0"/>
      <w:marTop w:val="0"/>
      <w:marBottom w:val="0"/>
      <w:divBdr>
        <w:top w:val="none" w:sz="0" w:space="0" w:color="auto"/>
        <w:left w:val="none" w:sz="0" w:space="0" w:color="auto"/>
        <w:bottom w:val="none" w:sz="0" w:space="0" w:color="auto"/>
        <w:right w:val="none" w:sz="0" w:space="0" w:color="auto"/>
      </w:divBdr>
    </w:div>
    <w:div w:id="1245608669">
      <w:bodyDiv w:val="1"/>
      <w:marLeft w:val="0"/>
      <w:marRight w:val="0"/>
      <w:marTop w:val="0"/>
      <w:marBottom w:val="0"/>
      <w:divBdr>
        <w:top w:val="none" w:sz="0" w:space="0" w:color="auto"/>
        <w:left w:val="none" w:sz="0" w:space="0" w:color="auto"/>
        <w:bottom w:val="none" w:sz="0" w:space="0" w:color="auto"/>
        <w:right w:val="none" w:sz="0" w:space="0" w:color="auto"/>
      </w:divBdr>
    </w:div>
    <w:div w:id="1261986127">
      <w:bodyDiv w:val="1"/>
      <w:marLeft w:val="0"/>
      <w:marRight w:val="0"/>
      <w:marTop w:val="0"/>
      <w:marBottom w:val="0"/>
      <w:divBdr>
        <w:top w:val="none" w:sz="0" w:space="0" w:color="auto"/>
        <w:left w:val="none" w:sz="0" w:space="0" w:color="auto"/>
        <w:bottom w:val="none" w:sz="0" w:space="0" w:color="auto"/>
        <w:right w:val="none" w:sz="0" w:space="0" w:color="auto"/>
      </w:divBdr>
    </w:div>
    <w:div w:id="1270965037">
      <w:bodyDiv w:val="1"/>
      <w:marLeft w:val="0"/>
      <w:marRight w:val="0"/>
      <w:marTop w:val="0"/>
      <w:marBottom w:val="0"/>
      <w:divBdr>
        <w:top w:val="none" w:sz="0" w:space="0" w:color="auto"/>
        <w:left w:val="none" w:sz="0" w:space="0" w:color="auto"/>
        <w:bottom w:val="none" w:sz="0" w:space="0" w:color="auto"/>
        <w:right w:val="none" w:sz="0" w:space="0" w:color="auto"/>
      </w:divBdr>
    </w:div>
    <w:div w:id="1307782091">
      <w:bodyDiv w:val="1"/>
      <w:marLeft w:val="0"/>
      <w:marRight w:val="0"/>
      <w:marTop w:val="0"/>
      <w:marBottom w:val="0"/>
      <w:divBdr>
        <w:top w:val="none" w:sz="0" w:space="0" w:color="auto"/>
        <w:left w:val="none" w:sz="0" w:space="0" w:color="auto"/>
        <w:bottom w:val="none" w:sz="0" w:space="0" w:color="auto"/>
        <w:right w:val="none" w:sz="0" w:space="0" w:color="auto"/>
      </w:divBdr>
      <w:divsChild>
        <w:div w:id="1108156163">
          <w:marLeft w:val="0"/>
          <w:marRight w:val="0"/>
          <w:marTop w:val="0"/>
          <w:marBottom w:val="0"/>
          <w:divBdr>
            <w:top w:val="none" w:sz="0" w:space="0" w:color="auto"/>
            <w:left w:val="none" w:sz="0" w:space="0" w:color="auto"/>
            <w:bottom w:val="none" w:sz="0" w:space="0" w:color="auto"/>
            <w:right w:val="none" w:sz="0" w:space="0" w:color="auto"/>
          </w:divBdr>
          <w:divsChild>
            <w:div w:id="1528828374">
              <w:marLeft w:val="0"/>
              <w:marRight w:val="0"/>
              <w:marTop w:val="0"/>
              <w:marBottom w:val="0"/>
              <w:divBdr>
                <w:top w:val="none" w:sz="0" w:space="0" w:color="auto"/>
                <w:left w:val="none" w:sz="0" w:space="0" w:color="auto"/>
                <w:bottom w:val="none" w:sz="0" w:space="0" w:color="auto"/>
                <w:right w:val="none" w:sz="0" w:space="0" w:color="auto"/>
              </w:divBdr>
              <w:divsChild>
                <w:div w:id="629365709">
                  <w:marLeft w:val="0"/>
                  <w:marRight w:val="0"/>
                  <w:marTop w:val="0"/>
                  <w:marBottom w:val="0"/>
                  <w:divBdr>
                    <w:top w:val="none" w:sz="0" w:space="0" w:color="auto"/>
                    <w:left w:val="none" w:sz="0" w:space="0" w:color="auto"/>
                    <w:bottom w:val="none" w:sz="0" w:space="0" w:color="auto"/>
                    <w:right w:val="none" w:sz="0" w:space="0" w:color="auto"/>
                  </w:divBdr>
                  <w:divsChild>
                    <w:div w:id="360984183">
                      <w:marLeft w:val="0"/>
                      <w:marRight w:val="0"/>
                      <w:marTop w:val="0"/>
                      <w:marBottom w:val="0"/>
                      <w:divBdr>
                        <w:top w:val="none" w:sz="0" w:space="0" w:color="auto"/>
                        <w:left w:val="none" w:sz="0" w:space="0" w:color="auto"/>
                        <w:bottom w:val="none" w:sz="0" w:space="0" w:color="auto"/>
                        <w:right w:val="none" w:sz="0" w:space="0" w:color="auto"/>
                      </w:divBdr>
                      <w:divsChild>
                        <w:div w:id="19606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121541">
      <w:bodyDiv w:val="1"/>
      <w:marLeft w:val="0"/>
      <w:marRight w:val="0"/>
      <w:marTop w:val="0"/>
      <w:marBottom w:val="0"/>
      <w:divBdr>
        <w:top w:val="none" w:sz="0" w:space="0" w:color="auto"/>
        <w:left w:val="none" w:sz="0" w:space="0" w:color="auto"/>
        <w:bottom w:val="none" w:sz="0" w:space="0" w:color="auto"/>
        <w:right w:val="none" w:sz="0" w:space="0" w:color="auto"/>
      </w:divBdr>
      <w:divsChild>
        <w:div w:id="968169616">
          <w:marLeft w:val="0"/>
          <w:marRight w:val="0"/>
          <w:marTop w:val="0"/>
          <w:marBottom w:val="0"/>
          <w:divBdr>
            <w:top w:val="none" w:sz="0" w:space="0" w:color="auto"/>
            <w:left w:val="none" w:sz="0" w:space="0" w:color="auto"/>
            <w:bottom w:val="none" w:sz="0" w:space="0" w:color="auto"/>
            <w:right w:val="none" w:sz="0" w:space="0" w:color="auto"/>
          </w:divBdr>
          <w:divsChild>
            <w:div w:id="791172033">
              <w:marLeft w:val="0"/>
              <w:marRight w:val="0"/>
              <w:marTop w:val="0"/>
              <w:marBottom w:val="0"/>
              <w:divBdr>
                <w:top w:val="none" w:sz="0" w:space="0" w:color="auto"/>
                <w:left w:val="none" w:sz="0" w:space="0" w:color="auto"/>
                <w:bottom w:val="none" w:sz="0" w:space="0" w:color="auto"/>
                <w:right w:val="none" w:sz="0" w:space="0" w:color="auto"/>
              </w:divBdr>
              <w:divsChild>
                <w:div w:id="581837841">
                  <w:marLeft w:val="0"/>
                  <w:marRight w:val="0"/>
                  <w:marTop w:val="0"/>
                  <w:marBottom w:val="0"/>
                  <w:divBdr>
                    <w:top w:val="none" w:sz="0" w:space="0" w:color="auto"/>
                    <w:left w:val="none" w:sz="0" w:space="0" w:color="auto"/>
                    <w:bottom w:val="none" w:sz="0" w:space="0" w:color="auto"/>
                    <w:right w:val="none" w:sz="0" w:space="0" w:color="auto"/>
                  </w:divBdr>
                  <w:divsChild>
                    <w:div w:id="41174382">
                      <w:marLeft w:val="-225"/>
                      <w:marRight w:val="-225"/>
                      <w:marTop w:val="0"/>
                      <w:marBottom w:val="0"/>
                      <w:divBdr>
                        <w:top w:val="none" w:sz="0" w:space="0" w:color="auto"/>
                        <w:left w:val="none" w:sz="0" w:space="0" w:color="auto"/>
                        <w:bottom w:val="none" w:sz="0" w:space="0" w:color="auto"/>
                        <w:right w:val="none" w:sz="0" w:space="0" w:color="auto"/>
                      </w:divBdr>
                      <w:divsChild>
                        <w:div w:id="654839022">
                          <w:marLeft w:val="0"/>
                          <w:marRight w:val="0"/>
                          <w:marTop w:val="0"/>
                          <w:marBottom w:val="0"/>
                          <w:divBdr>
                            <w:top w:val="none" w:sz="0" w:space="0" w:color="auto"/>
                            <w:left w:val="none" w:sz="0" w:space="0" w:color="auto"/>
                            <w:bottom w:val="none" w:sz="0" w:space="0" w:color="auto"/>
                            <w:right w:val="none" w:sz="0" w:space="0" w:color="auto"/>
                          </w:divBdr>
                          <w:divsChild>
                            <w:div w:id="5189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289504">
      <w:bodyDiv w:val="1"/>
      <w:marLeft w:val="0"/>
      <w:marRight w:val="0"/>
      <w:marTop w:val="0"/>
      <w:marBottom w:val="0"/>
      <w:divBdr>
        <w:top w:val="none" w:sz="0" w:space="0" w:color="auto"/>
        <w:left w:val="none" w:sz="0" w:space="0" w:color="auto"/>
        <w:bottom w:val="none" w:sz="0" w:space="0" w:color="auto"/>
        <w:right w:val="none" w:sz="0" w:space="0" w:color="auto"/>
      </w:divBdr>
    </w:div>
    <w:div w:id="1423524571">
      <w:bodyDiv w:val="1"/>
      <w:marLeft w:val="0"/>
      <w:marRight w:val="0"/>
      <w:marTop w:val="0"/>
      <w:marBottom w:val="0"/>
      <w:divBdr>
        <w:top w:val="none" w:sz="0" w:space="0" w:color="auto"/>
        <w:left w:val="none" w:sz="0" w:space="0" w:color="auto"/>
        <w:bottom w:val="none" w:sz="0" w:space="0" w:color="auto"/>
        <w:right w:val="none" w:sz="0" w:space="0" w:color="auto"/>
      </w:divBdr>
    </w:div>
    <w:div w:id="1443693272">
      <w:bodyDiv w:val="1"/>
      <w:marLeft w:val="0"/>
      <w:marRight w:val="0"/>
      <w:marTop w:val="0"/>
      <w:marBottom w:val="0"/>
      <w:divBdr>
        <w:top w:val="none" w:sz="0" w:space="0" w:color="auto"/>
        <w:left w:val="none" w:sz="0" w:space="0" w:color="auto"/>
        <w:bottom w:val="none" w:sz="0" w:space="0" w:color="auto"/>
        <w:right w:val="none" w:sz="0" w:space="0" w:color="auto"/>
      </w:divBdr>
    </w:div>
    <w:div w:id="1456951559">
      <w:bodyDiv w:val="1"/>
      <w:marLeft w:val="0"/>
      <w:marRight w:val="0"/>
      <w:marTop w:val="0"/>
      <w:marBottom w:val="0"/>
      <w:divBdr>
        <w:top w:val="none" w:sz="0" w:space="0" w:color="auto"/>
        <w:left w:val="none" w:sz="0" w:space="0" w:color="auto"/>
        <w:bottom w:val="none" w:sz="0" w:space="0" w:color="auto"/>
        <w:right w:val="none" w:sz="0" w:space="0" w:color="auto"/>
      </w:divBdr>
    </w:div>
    <w:div w:id="1459370255">
      <w:bodyDiv w:val="1"/>
      <w:marLeft w:val="0"/>
      <w:marRight w:val="0"/>
      <w:marTop w:val="0"/>
      <w:marBottom w:val="0"/>
      <w:divBdr>
        <w:top w:val="none" w:sz="0" w:space="0" w:color="auto"/>
        <w:left w:val="none" w:sz="0" w:space="0" w:color="auto"/>
        <w:bottom w:val="none" w:sz="0" w:space="0" w:color="auto"/>
        <w:right w:val="none" w:sz="0" w:space="0" w:color="auto"/>
      </w:divBdr>
      <w:divsChild>
        <w:div w:id="920332203">
          <w:marLeft w:val="0"/>
          <w:marRight w:val="0"/>
          <w:marTop w:val="0"/>
          <w:marBottom w:val="0"/>
          <w:divBdr>
            <w:top w:val="none" w:sz="0" w:space="0" w:color="auto"/>
            <w:left w:val="none" w:sz="0" w:space="0" w:color="auto"/>
            <w:bottom w:val="none" w:sz="0" w:space="0" w:color="auto"/>
            <w:right w:val="none" w:sz="0" w:space="0" w:color="auto"/>
          </w:divBdr>
          <w:divsChild>
            <w:div w:id="2094281783">
              <w:marLeft w:val="0"/>
              <w:marRight w:val="0"/>
              <w:marTop w:val="0"/>
              <w:marBottom w:val="0"/>
              <w:divBdr>
                <w:top w:val="none" w:sz="0" w:space="0" w:color="auto"/>
                <w:left w:val="none" w:sz="0" w:space="0" w:color="auto"/>
                <w:bottom w:val="none" w:sz="0" w:space="0" w:color="auto"/>
                <w:right w:val="none" w:sz="0" w:space="0" w:color="auto"/>
              </w:divBdr>
              <w:divsChild>
                <w:div w:id="529731355">
                  <w:marLeft w:val="0"/>
                  <w:marRight w:val="0"/>
                  <w:marTop w:val="0"/>
                  <w:marBottom w:val="0"/>
                  <w:divBdr>
                    <w:top w:val="none" w:sz="0" w:space="0" w:color="auto"/>
                    <w:left w:val="none" w:sz="0" w:space="0" w:color="auto"/>
                    <w:bottom w:val="none" w:sz="0" w:space="0" w:color="auto"/>
                    <w:right w:val="none" w:sz="0" w:space="0" w:color="auto"/>
                  </w:divBdr>
                  <w:divsChild>
                    <w:div w:id="1366635287">
                      <w:marLeft w:val="-225"/>
                      <w:marRight w:val="-225"/>
                      <w:marTop w:val="0"/>
                      <w:marBottom w:val="0"/>
                      <w:divBdr>
                        <w:top w:val="none" w:sz="0" w:space="0" w:color="auto"/>
                        <w:left w:val="none" w:sz="0" w:space="0" w:color="auto"/>
                        <w:bottom w:val="none" w:sz="0" w:space="0" w:color="auto"/>
                        <w:right w:val="none" w:sz="0" w:space="0" w:color="auto"/>
                      </w:divBdr>
                      <w:divsChild>
                        <w:div w:id="309751144">
                          <w:marLeft w:val="0"/>
                          <w:marRight w:val="0"/>
                          <w:marTop w:val="0"/>
                          <w:marBottom w:val="0"/>
                          <w:divBdr>
                            <w:top w:val="none" w:sz="0" w:space="0" w:color="auto"/>
                            <w:left w:val="none" w:sz="0" w:space="0" w:color="auto"/>
                            <w:bottom w:val="none" w:sz="0" w:space="0" w:color="auto"/>
                            <w:right w:val="none" w:sz="0" w:space="0" w:color="auto"/>
                          </w:divBdr>
                          <w:divsChild>
                            <w:div w:id="11906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388387">
      <w:bodyDiv w:val="1"/>
      <w:marLeft w:val="0"/>
      <w:marRight w:val="0"/>
      <w:marTop w:val="0"/>
      <w:marBottom w:val="0"/>
      <w:divBdr>
        <w:top w:val="none" w:sz="0" w:space="0" w:color="auto"/>
        <w:left w:val="none" w:sz="0" w:space="0" w:color="auto"/>
        <w:bottom w:val="none" w:sz="0" w:space="0" w:color="auto"/>
        <w:right w:val="none" w:sz="0" w:space="0" w:color="auto"/>
      </w:divBdr>
    </w:div>
    <w:div w:id="1479767621">
      <w:bodyDiv w:val="1"/>
      <w:marLeft w:val="0"/>
      <w:marRight w:val="0"/>
      <w:marTop w:val="0"/>
      <w:marBottom w:val="0"/>
      <w:divBdr>
        <w:top w:val="none" w:sz="0" w:space="0" w:color="auto"/>
        <w:left w:val="none" w:sz="0" w:space="0" w:color="auto"/>
        <w:bottom w:val="none" w:sz="0" w:space="0" w:color="auto"/>
        <w:right w:val="none" w:sz="0" w:space="0" w:color="auto"/>
      </w:divBdr>
    </w:div>
    <w:div w:id="1527133677">
      <w:bodyDiv w:val="1"/>
      <w:marLeft w:val="0"/>
      <w:marRight w:val="0"/>
      <w:marTop w:val="0"/>
      <w:marBottom w:val="0"/>
      <w:divBdr>
        <w:top w:val="none" w:sz="0" w:space="0" w:color="auto"/>
        <w:left w:val="none" w:sz="0" w:space="0" w:color="auto"/>
        <w:bottom w:val="none" w:sz="0" w:space="0" w:color="auto"/>
        <w:right w:val="none" w:sz="0" w:space="0" w:color="auto"/>
      </w:divBdr>
    </w:div>
    <w:div w:id="1537043322">
      <w:bodyDiv w:val="1"/>
      <w:marLeft w:val="0"/>
      <w:marRight w:val="0"/>
      <w:marTop w:val="0"/>
      <w:marBottom w:val="0"/>
      <w:divBdr>
        <w:top w:val="none" w:sz="0" w:space="0" w:color="auto"/>
        <w:left w:val="none" w:sz="0" w:space="0" w:color="auto"/>
        <w:bottom w:val="none" w:sz="0" w:space="0" w:color="auto"/>
        <w:right w:val="none" w:sz="0" w:space="0" w:color="auto"/>
      </w:divBdr>
    </w:div>
    <w:div w:id="1564607791">
      <w:bodyDiv w:val="1"/>
      <w:marLeft w:val="0"/>
      <w:marRight w:val="0"/>
      <w:marTop w:val="0"/>
      <w:marBottom w:val="0"/>
      <w:divBdr>
        <w:top w:val="none" w:sz="0" w:space="0" w:color="auto"/>
        <w:left w:val="none" w:sz="0" w:space="0" w:color="auto"/>
        <w:bottom w:val="none" w:sz="0" w:space="0" w:color="auto"/>
        <w:right w:val="none" w:sz="0" w:space="0" w:color="auto"/>
      </w:divBdr>
    </w:div>
    <w:div w:id="1586844595">
      <w:bodyDiv w:val="1"/>
      <w:marLeft w:val="0"/>
      <w:marRight w:val="0"/>
      <w:marTop w:val="0"/>
      <w:marBottom w:val="0"/>
      <w:divBdr>
        <w:top w:val="none" w:sz="0" w:space="0" w:color="auto"/>
        <w:left w:val="none" w:sz="0" w:space="0" w:color="auto"/>
        <w:bottom w:val="none" w:sz="0" w:space="0" w:color="auto"/>
        <w:right w:val="none" w:sz="0" w:space="0" w:color="auto"/>
      </w:divBdr>
    </w:div>
    <w:div w:id="1590121200">
      <w:bodyDiv w:val="1"/>
      <w:marLeft w:val="0"/>
      <w:marRight w:val="0"/>
      <w:marTop w:val="0"/>
      <w:marBottom w:val="0"/>
      <w:divBdr>
        <w:top w:val="none" w:sz="0" w:space="0" w:color="auto"/>
        <w:left w:val="none" w:sz="0" w:space="0" w:color="auto"/>
        <w:bottom w:val="none" w:sz="0" w:space="0" w:color="auto"/>
        <w:right w:val="none" w:sz="0" w:space="0" w:color="auto"/>
      </w:divBdr>
    </w:div>
    <w:div w:id="1593003519">
      <w:bodyDiv w:val="1"/>
      <w:marLeft w:val="0"/>
      <w:marRight w:val="0"/>
      <w:marTop w:val="0"/>
      <w:marBottom w:val="0"/>
      <w:divBdr>
        <w:top w:val="none" w:sz="0" w:space="0" w:color="auto"/>
        <w:left w:val="none" w:sz="0" w:space="0" w:color="auto"/>
        <w:bottom w:val="none" w:sz="0" w:space="0" w:color="auto"/>
        <w:right w:val="none" w:sz="0" w:space="0" w:color="auto"/>
      </w:divBdr>
    </w:div>
    <w:div w:id="1599556490">
      <w:bodyDiv w:val="1"/>
      <w:marLeft w:val="0"/>
      <w:marRight w:val="0"/>
      <w:marTop w:val="0"/>
      <w:marBottom w:val="0"/>
      <w:divBdr>
        <w:top w:val="none" w:sz="0" w:space="0" w:color="auto"/>
        <w:left w:val="none" w:sz="0" w:space="0" w:color="auto"/>
        <w:bottom w:val="none" w:sz="0" w:space="0" w:color="auto"/>
        <w:right w:val="none" w:sz="0" w:space="0" w:color="auto"/>
      </w:divBdr>
    </w:div>
    <w:div w:id="1608006104">
      <w:bodyDiv w:val="1"/>
      <w:marLeft w:val="0"/>
      <w:marRight w:val="0"/>
      <w:marTop w:val="0"/>
      <w:marBottom w:val="0"/>
      <w:divBdr>
        <w:top w:val="none" w:sz="0" w:space="0" w:color="auto"/>
        <w:left w:val="none" w:sz="0" w:space="0" w:color="auto"/>
        <w:bottom w:val="none" w:sz="0" w:space="0" w:color="auto"/>
        <w:right w:val="none" w:sz="0" w:space="0" w:color="auto"/>
      </w:divBdr>
    </w:div>
    <w:div w:id="1609123810">
      <w:bodyDiv w:val="1"/>
      <w:marLeft w:val="0"/>
      <w:marRight w:val="0"/>
      <w:marTop w:val="0"/>
      <w:marBottom w:val="0"/>
      <w:divBdr>
        <w:top w:val="none" w:sz="0" w:space="0" w:color="auto"/>
        <w:left w:val="none" w:sz="0" w:space="0" w:color="auto"/>
        <w:bottom w:val="none" w:sz="0" w:space="0" w:color="auto"/>
        <w:right w:val="none" w:sz="0" w:space="0" w:color="auto"/>
      </w:divBdr>
    </w:div>
    <w:div w:id="1633166857">
      <w:bodyDiv w:val="1"/>
      <w:marLeft w:val="0"/>
      <w:marRight w:val="0"/>
      <w:marTop w:val="0"/>
      <w:marBottom w:val="0"/>
      <w:divBdr>
        <w:top w:val="none" w:sz="0" w:space="0" w:color="auto"/>
        <w:left w:val="none" w:sz="0" w:space="0" w:color="auto"/>
        <w:bottom w:val="none" w:sz="0" w:space="0" w:color="auto"/>
        <w:right w:val="none" w:sz="0" w:space="0" w:color="auto"/>
      </w:divBdr>
      <w:divsChild>
        <w:div w:id="601763342">
          <w:marLeft w:val="0"/>
          <w:marRight w:val="0"/>
          <w:marTop w:val="0"/>
          <w:marBottom w:val="0"/>
          <w:divBdr>
            <w:top w:val="none" w:sz="0" w:space="0" w:color="auto"/>
            <w:left w:val="none" w:sz="0" w:space="0" w:color="auto"/>
            <w:bottom w:val="none" w:sz="0" w:space="0" w:color="auto"/>
            <w:right w:val="none" w:sz="0" w:space="0" w:color="auto"/>
          </w:divBdr>
          <w:divsChild>
            <w:div w:id="469831582">
              <w:marLeft w:val="0"/>
              <w:marRight w:val="0"/>
              <w:marTop w:val="0"/>
              <w:marBottom w:val="0"/>
              <w:divBdr>
                <w:top w:val="none" w:sz="0" w:space="0" w:color="auto"/>
                <w:left w:val="none" w:sz="0" w:space="0" w:color="auto"/>
                <w:bottom w:val="none" w:sz="0" w:space="0" w:color="auto"/>
                <w:right w:val="none" w:sz="0" w:space="0" w:color="auto"/>
              </w:divBdr>
              <w:divsChild>
                <w:div w:id="1422919051">
                  <w:marLeft w:val="0"/>
                  <w:marRight w:val="0"/>
                  <w:marTop w:val="0"/>
                  <w:marBottom w:val="0"/>
                  <w:divBdr>
                    <w:top w:val="none" w:sz="0" w:space="0" w:color="auto"/>
                    <w:left w:val="none" w:sz="0" w:space="0" w:color="auto"/>
                    <w:bottom w:val="none" w:sz="0" w:space="0" w:color="auto"/>
                    <w:right w:val="none" w:sz="0" w:space="0" w:color="auto"/>
                  </w:divBdr>
                  <w:divsChild>
                    <w:div w:id="1639021886">
                      <w:marLeft w:val="-225"/>
                      <w:marRight w:val="-225"/>
                      <w:marTop w:val="0"/>
                      <w:marBottom w:val="0"/>
                      <w:divBdr>
                        <w:top w:val="none" w:sz="0" w:space="0" w:color="auto"/>
                        <w:left w:val="none" w:sz="0" w:space="0" w:color="auto"/>
                        <w:bottom w:val="none" w:sz="0" w:space="0" w:color="auto"/>
                        <w:right w:val="none" w:sz="0" w:space="0" w:color="auto"/>
                      </w:divBdr>
                      <w:divsChild>
                        <w:div w:id="950285999">
                          <w:marLeft w:val="0"/>
                          <w:marRight w:val="0"/>
                          <w:marTop w:val="0"/>
                          <w:marBottom w:val="0"/>
                          <w:divBdr>
                            <w:top w:val="none" w:sz="0" w:space="0" w:color="auto"/>
                            <w:left w:val="none" w:sz="0" w:space="0" w:color="auto"/>
                            <w:bottom w:val="none" w:sz="0" w:space="0" w:color="auto"/>
                            <w:right w:val="none" w:sz="0" w:space="0" w:color="auto"/>
                          </w:divBdr>
                          <w:divsChild>
                            <w:div w:id="14672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83095">
      <w:bodyDiv w:val="1"/>
      <w:marLeft w:val="0"/>
      <w:marRight w:val="0"/>
      <w:marTop w:val="0"/>
      <w:marBottom w:val="0"/>
      <w:divBdr>
        <w:top w:val="none" w:sz="0" w:space="0" w:color="auto"/>
        <w:left w:val="none" w:sz="0" w:space="0" w:color="auto"/>
        <w:bottom w:val="none" w:sz="0" w:space="0" w:color="auto"/>
        <w:right w:val="none" w:sz="0" w:space="0" w:color="auto"/>
      </w:divBdr>
    </w:div>
    <w:div w:id="1636058885">
      <w:bodyDiv w:val="1"/>
      <w:marLeft w:val="0"/>
      <w:marRight w:val="0"/>
      <w:marTop w:val="0"/>
      <w:marBottom w:val="0"/>
      <w:divBdr>
        <w:top w:val="none" w:sz="0" w:space="0" w:color="auto"/>
        <w:left w:val="none" w:sz="0" w:space="0" w:color="auto"/>
        <w:bottom w:val="none" w:sz="0" w:space="0" w:color="auto"/>
        <w:right w:val="none" w:sz="0" w:space="0" w:color="auto"/>
      </w:divBdr>
      <w:divsChild>
        <w:div w:id="248775639">
          <w:marLeft w:val="0"/>
          <w:marRight w:val="0"/>
          <w:marTop w:val="0"/>
          <w:marBottom w:val="0"/>
          <w:divBdr>
            <w:top w:val="none" w:sz="0" w:space="0" w:color="auto"/>
            <w:left w:val="none" w:sz="0" w:space="0" w:color="auto"/>
            <w:bottom w:val="none" w:sz="0" w:space="0" w:color="auto"/>
            <w:right w:val="none" w:sz="0" w:space="0" w:color="auto"/>
          </w:divBdr>
          <w:divsChild>
            <w:div w:id="1642537019">
              <w:marLeft w:val="0"/>
              <w:marRight w:val="0"/>
              <w:marTop w:val="0"/>
              <w:marBottom w:val="0"/>
              <w:divBdr>
                <w:top w:val="none" w:sz="0" w:space="0" w:color="auto"/>
                <w:left w:val="none" w:sz="0" w:space="0" w:color="auto"/>
                <w:bottom w:val="none" w:sz="0" w:space="0" w:color="auto"/>
                <w:right w:val="none" w:sz="0" w:space="0" w:color="auto"/>
              </w:divBdr>
              <w:divsChild>
                <w:div w:id="2130857912">
                  <w:marLeft w:val="0"/>
                  <w:marRight w:val="0"/>
                  <w:marTop w:val="0"/>
                  <w:marBottom w:val="0"/>
                  <w:divBdr>
                    <w:top w:val="none" w:sz="0" w:space="0" w:color="auto"/>
                    <w:left w:val="none" w:sz="0" w:space="0" w:color="auto"/>
                    <w:bottom w:val="none" w:sz="0" w:space="0" w:color="auto"/>
                    <w:right w:val="none" w:sz="0" w:space="0" w:color="auto"/>
                  </w:divBdr>
                  <w:divsChild>
                    <w:div w:id="1895240135">
                      <w:marLeft w:val="0"/>
                      <w:marRight w:val="0"/>
                      <w:marTop w:val="0"/>
                      <w:marBottom w:val="0"/>
                      <w:divBdr>
                        <w:top w:val="none" w:sz="0" w:space="0" w:color="auto"/>
                        <w:left w:val="none" w:sz="0" w:space="0" w:color="auto"/>
                        <w:bottom w:val="none" w:sz="0" w:space="0" w:color="auto"/>
                        <w:right w:val="none" w:sz="0" w:space="0" w:color="auto"/>
                      </w:divBdr>
                      <w:divsChild>
                        <w:div w:id="4219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48522">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693267042">
      <w:bodyDiv w:val="1"/>
      <w:marLeft w:val="0"/>
      <w:marRight w:val="0"/>
      <w:marTop w:val="0"/>
      <w:marBottom w:val="0"/>
      <w:divBdr>
        <w:top w:val="none" w:sz="0" w:space="0" w:color="auto"/>
        <w:left w:val="none" w:sz="0" w:space="0" w:color="auto"/>
        <w:bottom w:val="none" w:sz="0" w:space="0" w:color="auto"/>
        <w:right w:val="none" w:sz="0" w:space="0" w:color="auto"/>
      </w:divBdr>
    </w:div>
    <w:div w:id="1716394896">
      <w:bodyDiv w:val="1"/>
      <w:marLeft w:val="0"/>
      <w:marRight w:val="0"/>
      <w:marTop w:val="0"/>
      <w:marBottom w:val="0"/>
      <w:divBdr>
        <w:top w:val="none" w:sz="0" w:space="0" w:color="auto"/>
        <w:left w:val="none" w:sz="0" w:space="0" w:color="auto"/>
        <w:bottom w:val="none" w:sz="0" w:space="0" w:color="auto"/>
        <w:right w:val="none" w:sz="0" w:space="0" w:color="auto"/>
      </w:divBdr>
    </w:div>
    <w:div w:id="1737123574">
      <w:bodyDiv w:val="1"/>
      <w:marLeft w:val="0"/>
      <w:marRight w:val="0"/>
      <w:marTop w:val="0"/>
      <w:marBottom w:val="0"/>
      <w:divBdr>
        <w:top w:val="none" w:sz="0" w:space="0" w:color="auto"/>
        <w:left w:val="none" w:sz="0" w:space="0" w:color="auto"/>
        <w:bottom w:val="none" w:sz="0" w:space="0" w:color="auto"/>
        <w:right w:val="none" w:sz="0" w:space="0" w:color="auto"/>
      </w:divBdr>
    </w:div>
    <w:div w:id="1737359694">
      <w:bodyDiv w:val="1"/>
      <w:marLeft w:val="0"/>
      <w:marRight w:val="0"/>
      <w:marTop w:val="0"/>
      <w:marBottom w:val="0"/>
      <w:divBdr>
        <w:top w:val="none" w:sz="0" w:space="0" w:color="auto"/>
        <w:left w:val="none" w:sz="0" w:space="0" w:color="auto"/>
        <w:bottom w:val="none" w:sz="0" w:space="0" w:color="auto"/>
        <w:right w:val="none" w:sz="0" w:space="0" w:color="auto"/>
      </w:divBdr>
    </w:div>
    <w:div w:id="1755128215">
      <w:bodyDiv w:val="1"/>
      <w:marLeft w:val="0"/>
      <w:marRight w:val="0"/>
      <w:marTop w:val="0"/>
      <w:marBottom w:val="0"/>
      <w:divBdr>
        <w:top w:val="none" w:sz="0" w:space="0" w:color="auto"/>
        <w:left w:val="none" w:sz="0" w:space="0" w:color="auto"/>
        <w:bottom w:val="none" w:sz="0" w:space="0" w:color="auto"/>
        <w:right w:val="none" w:sz="0" w:space="0" w:color="auto"/>
      </w:divBdr>
    </w:div>
    <w:div w:id="1762598793">
      <w:bodyDiv w:val="1"/>
      <w:marLeft w:val="0"/>
      <w:marRight w:val="0"/>
      <w:marTop w:val="0"/>
      <w:marBottom w:val="0"/>
      <w:divBdr>
        <w:top w:val="none" w:sz="0" w:space="0" w:color="auto"/>
        <w:left w:val="none" w:sz="0" w:space="0" w:color="auto"/>
        <w:bottom w:val="none" w:sz="0" w:space="0" w:color="auto"/>
        <w:right w:val="none" w:sz="0" w:space="0" w:color="auto"/>
      </w:divBdr>
    </w:div>
    <w:div w:id="1776175744">
      <w:bodyDiv w:val="1"/>
      <w:marLeft w:val="0"/>
      <w:marRight w:val="0"/>
      <w:marTop w:val="0"/>
      <w:marBottom w:val="0"/>
      <w:divBdr>
        <w:top w:val="none" w:sz="0" w:space="0" w:color="auto"/>
        <w:left w:val="none" w:sz="0" w:space="0" w:color="auto"/>
        <w:bottom w:val="none" w:sz="0" w:space="0" w:color="auto"/>
        <w:right w:val="none" w:sz="0" w:space="0" w:color="auto"/>
      </w:divBdr>
    </w:div>
    <w:div w:id="1789740997">
      <w:bodyDiv w:val="1"/>
      <w:marLeft w:val="0"/>
      <w:marRight w:val="0"/>
      <w:marTop w:val="0"/>
      <w:marBottom w:val="0"/>
      <w:divBdr>
        <w:top w:val="none" w:sz="0" w:space="0" w:color="auto"/>
        <w:left w:val="none" w:sz="0" w:space="0" w:color="auto"/>
        <w:bottom w:val="none" w:sz="0" w:space="0" w:color="auto"/>
        <w:right w:val="none" w:sz="0" w:space="0" w:color="auto"/>
      </w:divBdr>
    </w:div>
    <w:div w:id="1794638781">
      <w:bodyDiv w:val="1"/>
      <w:marLeft w:val="0"/>
      <w:marRight w:val="0"/>
      <w:marTop w:val="0"/>
      <w:marBottom w:val="0"/>
      <w:divBdr>
        <w:top w:val="none" w:sz="0" w:space="0" w:color="auto"/>
        <w:left w:val="none" w:sz="0" w:space="0" w:color="auto"/>
        <w:bottom w:val="none" w:sz="0" w:space="0" w:color="auto"/>
        <w:right w:val="none" w:sz="0" w:space="0" w:color="auto"/>
      </w:divBdr>
    </w:div>
    <w:div w:id="1811903207">
      <w:bodyDiv w:val="1"/>
      <w:marLeft w:val="0"/>
      <w:marRight w:val="0"/>
      <w:marTop w:val="0"/>
      <w:marBottom w:val="0"/>
      <w:divBdr>
        <w:top w:val="none" w:sz="0" w:space="0" w:color="auto"/>
        <w:left w:val="none" w:sz="0" w:space="0" w:color="auto"/>
        <w:bottom w:val="none" w:sz="0" w:space="0" w:color="auto"/>
        <w:right w:val="none" w:sz="0" w:space="0" w:color="auto"/>
      </w:divBdr>
    </w:div>
    <w:div w:id="1871992664">
      <w:bodyDiv w:val="1"/>
      <w:marLeft w:val="0"/>
      <w:marRight w:val="0"/>
      <w:marTop w:val="0"/>
      <w:marBottom w:val="0"/>
      <w:divBdr>
        <w:top w:val="none" w:sz="0" w:space="0" w:color="auto"/>
        <w:left w:val="none" w:sz="0" w:space="0" w:color="auto"/>
        <w:bottom w:val="none" w:sz="0" w:space="0" w:color="auto"/>
        <w:right w:val="none" w:sz="0" w:space="0" w:color="auto"/>
      </w:divBdr>
    </w:div>
    <w:div w:id="1894922952">
      <w:bodyDiv w:val="1"/>
      <w:marLeft w:val="0"/>
      <w:marRight w:val="0"/>
      <w:marTop w:val="0"/>
      <w:marBottom w:val="0"/>
      <w:divBdr>
        <w:top w:val="none" w:sz="0" w:space="0" w:color="auto"/>
        <w:left w:val="none" w:sz="0" w:space="0" w:color="auto"/>
        <w:bottom w:val="none" w:sz="0" w:space="0" w:color="auto"/>
        <w:right w:val="none" w:sz="0" w:space="0" w:color="auto"/>
      </w:divBdr>
    </w:div>
    <w:div w:id="1895505378">
      <w:bodyDiv w:val="1"/>
      <w:marLeft w:val="0"/>
      <w:marRight w:val="0"/>
      <w:marTop w:val="0"/>
      <w:marBottom w:val="0"/>
      <w:divBdr>
        <w:top w:val="none" w:sz="0" w:space="0" w:color="auto"/>
        <w:left w:val="none" w:sz="0" w:space="0" w:color="auto"/>
        <w:bottom w:val="none" w:sz="0" w:space="0" w:color="auto"/>
        <w:right w:val="none" w:sz="0" w:space="0" w:color="auto"/>
      </w:divBdr>
    </w:div>
    <w:div w:id="1925332150">
      <w:bodyDiv w:val="1"/>
      <w:marLeft w:val="0"/>
      <w:marRight w:val="0"/>
      <w:marTop w:val="0"/>
      <w:marBottom w:val="0"/>
      <w:divBdr>
        <w:top w:val="none" w:sz="0" w:space="0" w:color="auto"/>
        <w:left w:val="none" w:sz="0" w:space="0" w:color="auto"/>
        <w:bottom w:val="none" w:sz="0" w:space="0" w:color="auto"/>
        <w:right w:val="none" w:sz="0" w:space="0" w:color="auto"/>
      </w:divBdr>
    </w:div>
    <w:div w:id="1937443624">
      <w:bodyDiv w:val="1"/>
      <w:marLeft w:val="0"/>
      <w:marRight w:val="0"/>
      <w:marTop w:val="0"/>
      <w:marBottom w:val="0"/>
      <w:divBdr>
        <w:top w:val="none" w:sz="0" w:space="0" w:color="auto"/>
        <w:left w:val="none" w:sz="0" w:space="0" w:color="auto"/>
        <w:bottom w:val="none" w:sz="0" w:space="0" w:color="auto"/>
        <w:right w:val="none" w:sz="0" w:space="0" w:color="auto"/>
      </w:divBdr>
    </w:div>
    <w:div w:id="1942683747">
      <w:bodyDiv w:val="1"/>
      <w:marLeft w:val="0"/>
      <w:marRight w:val="0"/>
      <w:marTop w:val="0"/>
      <w:marBottom w:val="0"/>
      <w:divBdr>
        <w:top w:val="none" w:sz="0" w:space="0" w:color="auto"/>
        <w:left w:val="none" w:sz="0" w:space="0" w:color="auto"/>
        <w:bottom w:val="none" w:sz="0" w:space="0" w:color="auto"/>
        <w:right w:val="none" w:sz="0" w:space="0" w:color="auto"/>
      </w:divBdr>
    </w:div>
    <w:div w:id="1982147322">
      <w:bodyDiv w:val="1"/>
      <w:marLeft w:val="0"/>
      <w:marRight w:val="0"/>
      <w:marTop w:val="0"/>
      <w:marBottom w:val="0"/>
      <w:divBdr>
        <w:top w:val="none" w:sz="0" w:space="0" w:color="auto"/>
        <w:left w:val="none" w:sz="0" w:space="0" w:color="auto"/>
        <w:bottom w:val="none" w:sz="0" w:space="0" w:color="auto"/>
        <w:right w:val="none" w:sz="0" w:space="0" w:color="auto"/>
      </w:divBdr>
    </w:div>
    <w:div w:id="2046709784">
      <w:bodyDiv w:val="1"/>
      <w:marLeft w:val="0"/>
      <w:marRight w:val="0"/>
      <w:marTop w:val="0"/>
      <w:marBottom w:val="0"/>
      <w:divBdr>
        <w:top w:val="none" w:sz="0" w:space="0" w:color="auto"/>
        <w:left w:val="none" w:sz="0" w:space="0" w:color="auto"/>
        <w:bottom w:val="none" w:sz="0" w:space="0" w:color="auto"/>
        <w:right w:val="none" w:sz="0" w:space="0" w:color="auto"/>
      </w:divBdr>
    </w:div>
    <w:div w:id="2047827212">
      <w:bodyDiv w:val="1"/>
      <w:marLeft w:val="0"/>
      <w:marRight w:val="0"/>
      <w:marTop w:val="0"/>
      <w:marBottom w:val="0"/>
      <w:divBdr>
        <w:top w:val="none" w:sz="0" w:space="0" w:color="auto"/>
        <w:left w:val="none" w:sz="0" w:space="0" w:color="auto"/>
        <w:bottom w:val="none" w:sz="0" w:space="0" w:color="auto"/>
        <w:right w:val="none" w:sz="0" w:space="0" w:color="auto"/>
      </w:divBdr>
    </w:div>
    <w:div w:id="2060859598">
      <w:bodyDiv w:val="1"/>
      <w:marLeft w:val="0"/>
      <w:marRight w:val="0"/>
      <w:marTop w:val="0"/>
      <w:marBottom w:val="0"/>
      <w:divBdr>
        <w:top w:val="none" w:sz="0" w:space="0" w:color="auto"/>
        <w:left w:val="none" w:sz="0" w:space="0" w:color="auto"/>
        <w:bottom w:val="none" w:sz="0" w:space="0" w:color="auto"/>
        <w:right w:val="none" w:sz="0" w:space="0" w:color="auto"/>
      </w:divBdr>
    </w:div>
    <w:div w:id="2061250136">
      <w:bodyDiv w:val="1"/>
      <w:marLeft w:val="0"/>
      <w:marRight w:val="0"/>
      <w:marTop w:val="0"/>
      <w:marBottom w:val="0"/>
      <w:divBdr>
        <w:top w:val="none" w:sz="0" w:space="0" w:color="auto"/>
        <w:left w:val="none" w:sz="0" w:space="0" w:color="auto"/>
        <w:bottom w:val="none" w:sz="0" w:space="0" w:color="auto"/>
        <w:right w:val="none" w:sz="0" w:space="0" w:color="auto"/>
      </w:divBdr>
    </w:div>
    <w:div w:id="209343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mf.gv.at/services/ap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er&#228;te-retter-pr&#228;mie.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bmf.gv.at/service/allg/spenden/_start.as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n--gerte-retter-prmie-ntbm.at/fileadmin/user_upload/media/negativbeispiele.pdf" TargetMode="External"/><Relationship Id="rId5" Type="http://schemas.openxmlformats.org/officeDocument/2006/relationships/numbering" Target="numbering.xml"/><Relationship Id="rId15" Type="http://schemas.openxmlformats.org/officeDocument/2006/relationships/hyperlink" Target="https://formulare.bmf.gv.at/service/formulare/inter-Steuern/pdfs/9999/E109b.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ulare.bmf.gv.at/service/formulare/inter-Steuern/pdfs/9999/E109a.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261C8013876EB24A920A4B5E7AADF7E5" ma:contentTypeVersion="12" ma:contentTypeDescription="Ein neues Dokument erstellen." ma:contentTypeScope="" ma:versionID="b4462474c4cbec763c27a870a8fbc58c">
  <xsd:schema xmlns:xsd="http://www.w3.org/2001/XMLSchema" xmlns:xs="http://www.w3.org/2001/XMLSchema" xmlns:p="http://schemas.microsoft.com/office/2006/metadata/properties" xmlns:ns2="0220b7ec-074b-4483-a194-4c74a058e440" xmlns:ns3="d9ffff19-f111-4bef-b2e9-ad9433129195" xmlns:ns4="7B1FB819-5CB1-4A45-976D-9AD03BC06F20" xmlns:ns5="B89A7DF0-95E9-4F2D-8FCD-5CCD1FFF9BC1" xmlns:ns6="59205072-8186-4f12-8972-c9c207ced787" targetNamespace="http://schemas.microsoft.com/office/2006/metadata/properties" ma:root="true" ma:fieldsID="e804cd9c86af1889ee68a60ab6235b75" ns2:_="" ns3:_="" ns4:_="" ns5:_="" ns6:_="">
    <xsd:import namespace="0220b7ec-074b-4483-a194-4c74a058e440"/>
    <xsd:import namespace="d9ffff19-f111-4bef-b2e9-ad9433129195"/>
    <xsd:import namespace="7B1FB819-5CB1-4A45-976D-9AD03BC06F20"/>
    <xsd:import namespace="B89A7DF0-95E9-4F2D-8FCD-5CCD1FFF9BC1"/>
    <xsd:import namespace="59205072-8186-4f12-8972-c9c207ced787"/>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d9ffff19-f111-4bef-b2e9-ad9433129195"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59205072-8186-4f12-8972-c9c207ced787"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adonly xmlns="d9ffff19-f111-4bef-b2e9-ad9433129195">false</gpreadonly>
    <gpapprovalby xmlns="d9ffff19-f111-4bef-b2e9-ad9433129195">
      <UserInfo>
        <DisplayName/>
        <AccountId xsi:nil="true"/>
        <AccountType/>
      </UserInfo>
    </gpapprovalby>
    <gprestricted xmlns="d9ffff19-f111-4bef-b2e9-ad9433129195">false</gprestricted>
    <gpapprovalcomments xmlns="d9ffff19-f111-4bef-b2e9-ad9433129195" xsi:nil="true"/>
    <gpdocumentapprovalstatus xmlns="0220b7ec-074b-4483-a194-4c74a058e440" xsi:nil="true"/>
    <gpUploadStatus xmlns="d9ffff19-f111-4bef-b2e9-ad9433129195">Completed</gpUploadStatus>
    <gprequestsignature xmlns="B89A7DF0-95E9-4F2D-8FCD-5CCD1FFF9BC1" xsi:nil="true"/>
    <gprequestapproval xmlns="7B1FB819-5CB1-4A45-976D-9AD03BC06F20"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73BC14-99CE-4425-AB1C-D9536AF38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b7ec-074b-4483-a194-4c74a058e440"/>
    <ds:schemaRef ds:uri="d9ffff19-f111-4bef-b2e9-ad9433129195"/>
    <ds:schemaRef ds:uri="7B1FB819-5CB1-4A45-976D-9AD03BC06F20"/>
    <ds:schemaRef ds:uri="B89A7DF0-95E9-4F2D-8FCD-5CCD1FFF9BC1"/>
    <ds:schemaRef ds:uri="59205072-8186-4f12-8972-c9c207ced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DE0E1-4D06-4E7A-88A9-16857AD6BB5D}">
  <ds:schemaRefs>
    <ds:schemaRef ds:uri="http://schemas.microsoft.com/sharepoint/v3/contenttype/forms"/>
  </ds:schemaRefs>
</ds:datastoreItem>
</file>

<file path=customXml/itemProps3.xml><?xml version="1.0" encoding="utf-8"?>
<ds:datastoreItem xmlns:ds="http://schemas.openxmlformats.org/officeDocument/2006/customXml" ds:itemID="{D1B45835-0881-4EA8-A1FD-CBB951FFD759}">
  <ds:schemaRefs>
    <ds:schemaRef ds:uri="http://schemas.microsoft.com/office/infopath/2007/PartnerControls"/>
    <ds:schemaRef ds:uri="http://purl.org/dc/elements/1.1/"/>
    <ds:schemaRef ds:uri="http://schemas.microsoft.com/office/2006/metadata/properties"/>
    <ds:schemaRef ds:uri="B89A7DF0-95E9-4F2D-8FCD-5CCD1FFF9BC1"/>
    <ds:schemaRef ds:uri="http://schemas.openxmlformats.org/package/2006/metadata/core-properties"/>
    <ds:schemaRef ds:uri="59205072-8186-4f12-8972-c9c207ced787"/>
    <ds:schemaRef ds:uri="0220b7ec-074b-4483-a194-4c74a058e440"/>
    <ds:schemaRef ds:uri="7B1FB819-5CB1-4A45-976D-9AD03BC06F20"/>
    <ds:schemaRef ds:uri="http://schemas.microsoft.com/office/2006/documentManagement/types"/>
    <ds:schemaRef ds:uri="http://www.w3.org/XML/1998/namespace"/>
    <ds:schemaRef ds:uri="d9ffff19-f111-4bef-b2e9-ad9433129195"/>
    <ds:schemaRef ds:uri="http://purl.org/dc/dcmitype/"/>
    <ds:schemaRef ds:uri="http://purl.org/dc/terms/"/>
  </ds:schemaRefs>
</ds:datastoreItem>
</file>

<file path=customXml/itemProps4.xml><?xml version="1.0" encoding="utf-8"?>
<ds:datastoreItem xmlns:ds="http://schemas.openxmlformats.org/officeDocument/2006/customXml" ds:itemID="{BFD45D86-AFF2-4335-A01B-6EE43823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6825</Words>
  <Characters>43002</Characters>
  <Application>Microsoft Office Word</Application>
  <DocSecurity>0</DocSecurity>
  <Lines>358</Lines>
  <Paragraphs>99</Paragraphs>
  <ScaleCrop>false</ScaleCrop>
  <HeadingPairs>
    <vt:vector size="2" baseType="variant">
      <vt:variant>
        <vt:lpstr>Titel</vt:lpstr>
      </vt:variant>
      <vt:variant>
        <vt:i4>1</vt:i4>
      </vt:variant>
    </vt:vector>
  </HeadingPairs>
  <TitlesOfParts>
    <vt:vector size="1" baseType="lpstr">
      <vt:lpstr>Klienten-Info</vt:lpstr>
    </vt:vector>
  </TitlesOfParts>
  <Company>BDO Austria GmbH</Company>
  <LinksUpToDate>false</LinksUpToDate>
  <CharactersWithSpaces>49728</CharactersWithSpaces>
  <SharedDoc>false</SharedDoc>
  <HLinks>
    <vt:vector size="36" baseType="variant">
      <vt:variant>
        <vt:i4>1441847</vt:i4>
      </vt:variant>
      <vt:variant>
        <vt:i4>32</vt:i4>
      </vt:variant>
      <vt:variant>
        <vt:i4>0</vt:i4>
      </vt:variant>
      <vt:variant>
        <vt:i4>5</vt:i4>
      </vt:variant>
      <vt:variant>
        <vt:lpwstr/>
      </vt:variant>
      <vt:variant>
        <vt:lpwstr>_Toc357617255</vt:lpwstr>
      </vt:variant>
      <vt:variant>
        <vt:i4>1441847</vt:i4>
      </vt:variant>
      <vt:variant>
        <vt:i4>26</vt:i4>
      </vt:variant>
      <vt:variant>
        <vt:i4>0</vt:i4>
      </vt:variant>
      <vt:variant>
        <vt:i4>5</vt:i4>
      </vt:variant>
      <vt:variant>
        <vt:lpwstr/>
      </vt:variant>
      <vt:variant>
        <vt:lpwstr>_Toc357617254</vt:lpwstr>
      </vt:variant>
      <vt:variant>
        <vt:i4>1441847</vt:i4>
      </vt:variant>
      <vt:variant>
        <vt:i4>20</vt:i4>
      </vt:variant>
      <vt:variant>
        <vt:i4>0</vt:i4>
      </vt:variant>
      <vt:variant>
        <vt:i4>5</vt:i4>
      </vt:variant>
      <vt:variant>
        <vt:lpwstr/>
      </vt:variant>
      <vt:variant>
        <vt:lpwstr>_Toc357617253</vt:lpwstr>
      </vt:variant>
      <vt:variant>
        <vt:i4>1441847</vt:i4>
      </vt:variant>
      <vt:variant>
        <vt:i4>14</vt:i4>
      </vt:variant>
      <vt:variant>
        <vt:i4>0</vt:i4>
      </vt:variant>
      <vt:variant>
        <vt:i4>5</vt:i4>
      </vt:variant>
      <vt:variant>
        <vt:lpwstr/>
      </vt:variant>
      <vt:variant>
        <vt:lpwstr>_Toc357617252</vt:lpwstr>
      </vt:variant>
      <vt:variant>
        <vt:i4>1441847</vt:i4>
      </vt:variant>
      <vt:variant>
        <vt:i4>8</vt:i4>
      </vt:variant>
      <vt:variant>
        <vt:i4>0</vt:i4>
      </vt:variant>
      <vt:variant>
        <vt:i4>5</vt:i4>
      </vt:variant>
      <vt:variant>
        <vt:lpwstr/>
      </vt:variant>
      <vt:variant>
        <vt:lpwstr>_Toc357617251</vt:lpwstr>
      </vt:variant>
      <vt:variant>
        <vt:i4>1441847</vt:i4>
      </vt:variant>
      <vt:variant>
        <vt:i4>2</vt:i4>
      </vt:variant>
      <vt:variant>
        <vt:i4>0</vt:i4>
      </vt:variant>
      <vt:variant>
        <vt:i4>5</vt:i4>
      </vt:variant>
      <vt:variant>
        <vt:lpwstr/>
      </vt:variant>
      <vt:variant>
        <vt:lpwstr>_Toc357617250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Klienten-Info</dc:title>
  <dc:subject/>
  <dc:creator>ap</dc:creator>
  <cp:keywords/>
  <dc:description/>
  <cp:lastModifiedBy>Bettina Huter</cp:lastModifiedBy>
  <cp:revision>3</cp:revision>
  <cp:lastPrinted>2026-02-05T16:42:00Z</cp:lastPrinted>
  <dcterms:created xsi:type="dcterms:W3CDTF">2026-02-05T14:12:00Z</dcterms:created>
  <dcterms:modified xsi:type="dcterms:W3CDTF">2026-02-05T16:42:00Z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0x01010078E595C6EB318341B7D7061AFAFF23BD0200261C8013876EB24A920A4B5E7AADF7E5</vt:lpwstr>
  </property>
</Properties>
</file>